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3CF01" w14:textId="77777777" w:rsidR="007F14F7" w:rsidRPr="007F14F7" w:rsidRDefault="00593177">
      <w:pPr>
        <w:rPr>
          <w:sz w:val="24"/>
          <w:szCs w:val="24"/>
        </w:rPr>
      </w:pPr>
      <w:r w:rsidRPr="007F14F7">
        <w:rPr>
          <w:sz w:val="24"/>
          <w:szCs w:val="24"/>
        </w:rPr>
        <w:t xml:space="preserve">After the PPI review in 2022 the PPI Champions Group have been exploring and documenting the current and potential opportunities for public involvement in the governance of the ARC OxTV.  This document brings together those ideas and attempts to describe them.  </w:t>
      </w:r>
      <w:r w:rsidR="007F14F7" w:rsidRPr="007F14F7">
        <w:rPr>
          <w:sz w:val="24"/>
          <w:szCs w:val="24"/>
        </w:rPr>
        <w:t>Our governance public contributors do not individually need to take up all the roles available, although there are those who may well be involved in many, if not all, of them.</w:t>
      </w:r>
    </w:p>
    <w:p w14:paraId="2F4926D7" w14:textId="13E8163A" w:rsidR="00937D47" w:rsidRPr="007F14F7" w:rsidRDefault="00593177">
      <w:pPr>
        <w:rPr>
          <w:sz w:val="24"/>
          <w:szCs w:val="24"/>
        </w:rPr>
      </w:pPr>
      <w:r w:rsidRPr="007F14F7">
        <w:rPr>
          <w:sz w:val="24"/>
          <w:szCs w:val="24"/>
        </w:rPr>
        <w:t>Some of the opportunities described already existed</w:t>
      </w:r>
      <w:r w:rsidR="007F14F7" w:rsidRPr="007F14F7">
        <w:rPr>
          <w:sz w:val="24"/>
          <w:szCs w:val="24"/>
        </w:rPr>
        <w:t xml:space="preserve"> within the ARC</w:t>
      </w:r>
      <w:r w:rsidRPr="007F14F7">
        <w:rPr>
          <w:sz w:val="24"/>
          <w:szCs w:val="24"/>
        </w:rPr>
        <w:t xml:space="preserve">, some have been developed or expanded as an outcome of the review and some are new ideas that the group is interested in developing. </w:t>
      </w:r>
      <w:r w:rsidR="007F14F7" w:rsidRPr="007F14F7">
        <w:rPr>
          <w:sz w:val="24"/>
          <w:szCs w:val="24"/>
        </w:rPr>
        <w:t>This list is not finite and will always be ‘a work in progress’. Over time existing roles or opportunities may evolve or disappear and new ideas added and developed.</w:t>
      </w:r>
    </w:p>
    <w:tbl>
      <w:tblPr>
        <w:tblStyle w:val="TableGrid"/>
        <w:tblW w:w="15304" w:type="dxa"/>
        <w:tblLook w:val="04A0" w:firstRow="1" w:lastRow="0" w:firstColumn="1" w:lastColumn="0" w:noHBand="0" w:noVBand="1"/>
      </w:tblPr>
      <w:tblGrid>
        <w:gridCol w:w="2134"/>
        <w:gridCol w:w="3292"/>
        <w:gridCol w:w="3293"/>
        <w:gridCol w:w="3292"/>
        <w:gridCol w:w="3293"/>
      </w:tblGrid>
      <w:tr w:rsidR="007F14F7" w:rsidRPr="00761E82" w14:paraId="2584E4BF" w14:textId="77777777" w:rsidTr="003A023B">
        <w:tc>
          <w:tcPr>
            <w:tcW w:w="15304" w:type="dxa"/>
            <w:gridSpan w:val="5"/>
            <w:shd w:val="clear" w:color="auto" w:fill="E7E6E6" w:themeFill="background2"/>
            <w:tcMar>
              <w:top w:w="85" w:type="dxa"/>
              <w:left w:w="85" w:type="dxa"/>
              <w:bottom w:w="85" w:type="dxa"/>
              <w:right w:w="85" w:type="dxa"/>
            </w:tcMar>
          </w:tcPr>
          <w:p w14:paraId="2463D8E7" w14:textId="77777777" w:rsidR="007F14F7" w:rsidRPr="007F14F7" w:rsidRDefault="007F14F7" w:rsidP="001275D7">
            <w:pPr>
              <w:rPr>
                <w:b/>
                <w:sz w:val="32"/>
                <w:szCs w:val="32"/>
              </w:rPr>
            </w:pPr>
            <w:r w:rsidRPr="007F14F7">
              <w:rPr>
                <w:b/>
                <w:sz w:val="32"/>
                <w:szCs w:val="32"/>
              </w:rPr>
              <w:t>Roles &amp; Opportunities</w:t>
            </w:r>
          </w:p>
        </w:tc>
      </w:tr>
      <w:tr w:rsidR="00937D47" w:rsidRPr="007F14F7" w14:paraId="23E90AC3" w14:textId="77777777" w:rsidTr="001F62DF">
        <w:tc>
          <w:tcPr>
            <w:tcW w:w="2134" w:type="dxa"/>
            <w:shd w:val="clear" w:color="auto" w:fill="FBE4D5" w:themeFill="accent2" w:themeFillTint="33"/>
            <w:tcMar>
              <w:top w:w="85" w:type="dxa"/>
              <w:left w:w="85" w:type="dxa"/>
              <w:bottom w:w="85" w:type="dxa"/>
              <w:right w:w="85" w:type="dxa"/>
            </w:tcMar>
          </w:tcPr>
          <w:p w14:paraId="5CE17A8B" w14:textId="77777777" w:rsidR="00937D47" w:rsidRPr="007F14F7" w:rsidRDefault="00937D47" w:rsidP="00937D47">
            <w:pPr>
              <w:rPr>
                <w:b/>
                <w:sz w:val="24"/>
              </w:rPr>
            </w:pPr>
            <w:r w:rsidRPr="007F14F7">
              <w:rPr>
                <w:b/>
                <w:sz w:val="24"/>
              </w:rPr>
              <w:t>Documents</w:t>
            </w:r>
          </w:p>
        </w:tc>
        <w:tc>
          <w:tcPr>
            <w:tcW w:w="3292" w:type="dxa"/>
            <w:shd w:val="clear" w:color="auto" w:fill="FBE4D5" w:themeFill="accent2" w:themeFillTint="33"/>
            <w:tcMar>
              <w:top w:w="85" w:type="dxa"/>
              <w:left w:w="85" w:type="dxa"/>
              <w:bottom w:w="85" w:type="dxa"/>
              <w:right w:w="85" w:type="dxa"/>
            </w:tcMar>
          </w:tcPr>
          <w:p w14:paraId="5127086D" w14:textId="77777777" w:rsidR="00937D47" w:rsidRPr="007F14F7" w:rsidRDefault="00937D47" w:rsidP="00937D47">
            <w:pPr>
              <w:rPr>
                <w:b/>
                <w:sz w:val="24"/>
              </w:rPr>
            </w:pPr>
            <w:r w:rsidRPr="007F14F7">
              <w:rPr>
                <w:b/>
                <w:sz w:val="24"/>
              </w:rPr>
              <w:t>Strategic/governance document review</w:t>
            </w:r>
          </w:p>
        </w:tc>
        <w:tc>
          <w:tcPr>
            <w:tcW w:w="3293" w:type="dxa"/>
            <w:shd w:val="clear" w:color="auto" w:fill="FBE4D5" w:themeFill="accent2" w:themeFillTint="33"/>
            <w:tcMar>
              <w:top w:w="85" w:type="dxa"/>
              <w:left w:w="85" w:type="dxa"/>
              <w:bottom w:w="85" w:type="dxa"/>
              <w:right w:w="85" w:type="dxa"/>
            </w:tcMar>
          </w:tcPr>
          <w:p w14:paraId="617B26F2" w14:textId="77777777" w:rsidR="00937D47" w:rsidRPr="007F14F7" w:rsidRDefault="00937D47" w:rsidP="00937D47">
            <w:pPr>
              <w:rPr>
                <w:b/>
                <w:sz w:val="24"/>
              </w:rPr>
            </w:pPr>
            <w:r w:rsidRPr="007F14F7">
              <w:rPr>
                <w:b/>
                <w:sz w:val="24"/>
              </w:rPr>
              <w:t>Review of applications</w:t>
            </w:r>
          </w:p>
        </w:tc>
        <w:tc>
          <w:tcPr>
            <w:tcW w:w="3292" w:type="dxa"/>
            <w:shd w:val="clear" w:color="auto" w:fill="FBE4D5" w:themeFill="accent2" w:themeFillTint="33"/>
            <w:tcMar>
              <w:top w:w="85" w:type="dxa"/>
              <w:left w:w="85" w:type="dxa"/>
              <w:bottom w:w="85" w:type="dxa"/>
              <w:right w:w="85" w:type="dxa"/>
            </w:tcMar>
          </w:tcPr>
          <w:p w14:paraId="4C91FA97" w14:textId="77777777" w:rsidR="00937D47" w:rsidRPr="007F14F7" w:rsidRDefault="00937D47" w:rsidP="00937D47">
            <w:pPr>
              <w:rPr>
                <w:b/>
                <w:sz w:val="24"/>
              </w:rPr>
            </w:pPr>
          </w:p>
        </w:tc>
        <w:tc>
          <w:tcPr>
            <w:tcW w:w="3293" w:type="dxa"/>
            <w:shd w:val="clear" w:color="auto" w:fill="FBE4D5" w:themeFill="accent2" w:themeFillTint="33"/>
            <w:tcMar>
              <w:top w:w="85" w:type="dxa"/>
              <w:left w:w="85" w:type="dxa"/>
              <w:bottom w:w="85" w:type="dxa"/>
              <w:right w:w="85" w:type="dxa"/>
            </w:tcMar>
          </w:tcPr>
          <w:p w14:paraId="1747432E" w14:textId="77777777" w:rsidR="00937D47" w:rsidRPr="007F14F7" w:rsidRDefault="00937D47" w:rsidP="00937D47">
            <w:pPr>
              <w:rPr>
                <w:b/>
                <w:sz w:val="24"/>
              </w:rPr>
            </w:pPr>
          </w:p>
        </w:tc>
      </w:tr>
      <w:tr w:rsidR="00937D47" w14:paraId="74D0ABF0" w14:textId="77777777" w:rsidTr="001F62DF">
        <w:tc>
          <w:tcPr>
            <w:tcW w:w="2134" w:type="dxa"/>
            <w:tcMar>
              <w:top w:w="85" w:type="dxa"/>
              <w:left w:w="85" w:type="dxa"/>
              <w:bottom w:w="85" w:type="dxa"/>
              <w:right w:w="85" w:type="dxa"/>
            </w:tcMar>
          </w:tcPr>
          <w:p w14:paraId="3E4EA685" w14:textId="77777777" w:rsidR="00937D47" w:rsidRPr="007F14F7" w:rsidRDefault="00937D47" w:rsidP="00937D47">
            <w:pPr>
              <w:rPr>
                <w:b/>
              </w:rPr>
            </w:pPr>
          </w:p>
        </w:tc>
        <w:tc>
          <w:tcPr>
            <w:tcW w:w="3292" w:type="dxa"/>
            <w:shd w:val="clear" w:color="auto" w:fill="FBE4D5" w:themeFill="accent2" w:themeFillTint="33"/>
            <w:tcMar>
              <w:top w:w="85" w:type="dxa"/>
              <w:left w:w="85" w:type="dxa"/>
              <w:bottom w:w="85" w:type="dxa"/>
              <w:right w:w="85" w:type="dxa"/>
            </w:tcMar>
          </w:tcPr>
          <w:p w14:paraId="6A570153" w14:textId="77777777" w:rsidR="00937D47" w:rsidRPr="007F14F7" w:rsidRDefault="001F62DF" w:rsidP="001F62DF">
            <w:r w:rsidRPr="007F14F7">
              <w:t>From time to time there are opportunities to review and comment on documents. This is to ensure important documents reflect the experience and views of members of the public.</w:t>
            </w:r>
          </w:p>
          <w:p w14:paraId="26DAB228" w14:textId="77777777" w:rsidR="001F62DF" w:rsidRPr="007F14F7" w:rsidRDefault="001F62DF" w:rsidP="001F62DF">
            <w:r w:rsidRPr="007F14F7">
              <w:t>The usual process is</w:t>
            </w:r>
          </w:p>
          <w:p w14:paraId="2EF17CAD" w14:textId="77777777" w:rsidR="001F62DF" w:rsidRPr="007F14F7" w:rsidRDefault="001F62DF" w:rsidP="001F62DF">
            <w:pPr>
              <w:pStyle w:val="ListParagraph"/>
              <w:numPr>
                <w:ilvl w:val="0"/>
                <w:numId w:val="7"/>
              </w:numPr>
              <w:ind w:left="325" w:hanging="325"/>
            </w:pPr>
            <w:r w:rsidRPr="007F14F7">
              <w:t>a request for contributors and/or reviewers is circulated</w:t>
            </w:r>
          </w:p>
          <w:p w14:paraId="0148D204" w14:textId="77777777" w:rsidR="001F62DF" w:rsidRPr="007F14F7" w:rsidRDefault="001F62DF" w:rsidP="001F62DF">
            <w:pPr>
              <w:pStyle w:val="ListParagraph"/>
              <w:numPr>
                <w:ilvl w:val="0"/>
                <w:numId w:val="7"/>
              </w:numPr>
              <w:ind w:left="325" w:hanging="325"/>
            </w:pPr>
            <w:r w:rsidRPr="007F14F7">
              <w:t>those ‘volunteering’ are sent the document and details of timeframe and what is required, plus payment available</w:t>
            </w:r>
          </w:p>
          <w:p w14:paraId="61AD9CC6" w14:textId="77777777" w:rsidR="001F62DF" w:rsidRPr="007F14F7" w:rsidRDefault="001F62DF" w:rsidP="001F62DF">
            <w:pPr>
              <w:pStyle w:val="ListParagraph"/>
              <w:numPr>
                <w:ilvl w:val="0"/>
                <w:numId w:val="7"/>
              </w:numPr>
              <w:ind w:left="325" w:hanging="325"/>
            </w:pPr>
            <w:r w:rsidRPr="007F14F7">
              <w:t>support is offered by the document ‘owner’</w:t>
            </w:r>
          </w:p>
          <w:p w14:paraId="5C64300C" w14:textId="77777777" w:rsidR="001F62DF" w:rsidRPr="007F14F7" w:rsidRDefault="001F62DF" w:rsidP="001F62DF">
            <w:r w:rsidRPr="007F14F7">
              <w:t>Examples include:</w:t>
            </w:r>
          </w:p>
          <w:p w14:paraId="0A9412AE" w14:textId="77777777" w:rsidR="001F62DF" w:rsidRPr="007F14F7" w:rsidRDefault="001F62DF" w:rsidP="001F62DF">
            <w:pPr>
              <w:pStyle w:val="ListParagraph"/>
              <w:numPr>
                <w:ilvl w:val="0"/>
                <w:numId w:val="8"/>
              </w:numPr>
              <w:ind w:left="325" w:hanging="325"/>
            </w:pPr>
            <w:r w:rsidRPr="007F14F7">
              <w:t>ARC Annual review</w:t>
            </w:r>
          </w:p>
          <w:p w14:paraId="6D9D5A46" w14:textId="77777777" w:rsidR="001F62DF" w:rsidRPr="007F14F7" w:rsidRDefault="001F62DF" w:rsidP="001F62DF">
            <w:pPr>
              <w:pStyle w:val="ListParagraph"/>
              <w:numPr>
                <w:ilvl w:val="0"/>
                <w:numId w:val="8"/>
              </w:numPr>
              <w:ind w:left="325" w:hanging="325"/>
            </w:pPr>
            <w:r w:rsidRPr="007F14F7">
              <w:t>Extension Plan</w:t>
            </w:r>
          </w:p>
          <w:p w14:paraId="489D310E" w14:textId="77777777" w:rsidR="001F62DF" w:rsidRPr="007F14F7" w:rsidRDefault="001F62DF" w:rsidP="001F62DF">
            <w:pPr>
              <w:pStyle w:val="ListParagraph"/>
              <w:numPr>
                <w:ilvl w:val="0"/>
                <w:numId w:val="8"/>
              </w:numPr>
              <w:ind w:left="325" w:hanging="325"/>
            </w:pPr>
            <w:r w:rsidRPr="007F14F7">
              <w:t>PPI section of the Showcase brochure</w:t>
            </w:r>
          </w:p>
        </w:tc>
        <w:tc>
          <w:tcPr>
            <w:tcW w:w="3293" w:type="dxa"/>
            <w:shd w:val="clear" w:color="auto" w:fill="FBE4D5" w:themeFill="accent2" w:themeFillTint="33"/>
            <w:tcMar>
              <w:top w:w="85" w:type="dxa"/>
              <w:left w:w="85" w:type="dxa"/>
              <w:bottom w:w="85" w:type="dxa"/>
              <w:right w:w="85" w:type="dxa"/>
            </w:tcMar>
          </w:tcPr>
          <w:p w14:paraId="516FC937" w14:textId="77777777" w:rsidR="00937D47" w:rsidRPr="007F14F7" w:rsidRDefault="001F62DF" w:rsidP="001F62DF">
            <w:pPr>
              <w:pStyle w:val="ListParagraph"/>
              <w:numPr>
                <w:ilvl w:val="0"/>
                <w:numId w:val="8"/>
              </w:numPr>
              <w:ind w:left="296" w:hanging="283"/>
            </w:pPr>
            <w:r w:rsidRPr="007F14F7">
              <w:t>During this ARC our public contributors have reviewed applications for small grants.</w:t>
            </w:r>
          </w:p>
          <w:p w14:paraId="488728BC" w14:textId="01F55375" w:rsidR="002E4215" w:rsidRDefault="001F62DF" w:rsidP="001F62DF">
            <w:pPr>
              <w:pStyle w:val="ListParagraph"/>
              <w:numPr>
                <w:ilvl w:val="0"/>
                <w:numId w:val="8"/>
              </w:numPr>
              <w:ind w:left="296" w:hanging="283"/>
            </w:pPr>
            <w:r w:rsidRPr="007F14F7">
              <w:t>They will also be part of the process for allocating funding for PPI projects.</w:t>
            </w:r>
          </w:p>
          <w:p w14:paraId="0075CA85" w14:textId="77777777" w:rsidR="002E4215" w:rsidRPr="002E4215" w:rsidRDefault="002E4215" w:rsidP="002E4215"/>
          <w:p w14:paraId="57414C24" w14:textId="77777777" w:rsidR="002E4215" w:rsidRPr="002E4215" w:rsidRDefault="002E4215" w:rsidP="002E4215"/>
          <w:p w14:paraId="13C3BFC2" w14:textId="77777777" w:rsidR="002E4215" w:rsidRPr="002E4215" w:rsidRDefault="002E4215" w:rsidP="002E4215"/>
          <w:p w14:paraId="382D14D8" w14:textId="77777777" w:rsidR="002E4215" w:rsidRPr="002E4215" w:rsidRDefault="002E4215" w:rsidP="002E4215"/>
          <w:p w14:paraId="00E4AA07" w14:textId="77777777" w:rsidR="002E4215" w:rsidRPr="002E4215" w:rsidRDefault="002E4215" w:rsidP="002E4215"/>
          <w:p w14:paraId="56DC715D" w14:textId="77777777" w:rsidR="002E4215" w:rsidRPr="002E4215" w:rsidRDefault="002E4215" w:rsidP="002E4215"/>
          <w:p w14:paraId="3298C2DF" w14:textId="77777777" w:rsidR="002E4215" w:rsidRPr="002E4215" w:rsidRDefault="002E4215" w:rsidP="002E4215"/>
          <w:p w14:paraId="1641B9C3" w14:textId="77777777" w:rsidR="002E4215" w:rsidRPr="002E4215" w:rsidRDefault="002E4215" w:rsidP="002E4215"/>
          <w:p w14:paraId="388DD1F8" w14:textId="77777777" w:rsidR="002E4215" w:rsidRPr="002E4215" w:rsidRDefault="002E4215" w:rsidP="002E4215"/>
          <w:p w14:paraId="3B8F6813" w14:textId="33BCEC70" w:rsidR="002E4215" w:rsidRDefault="002E4215" w:rsidP="002E4215"/>
          <w:p w14:paraId="7832DC2D" w14:textId="77777777" w:rsidR="002E4215" w:rsidRPr="002E4215" w:rsidRDefault="002E4215" w:rsidP="002E4215"/>
          <w:p w14:paraId="6BF741C5" w14:textId="77777777" w:rsidR="002E4215" w:rsidRPr="002E4215" w:rsidRDefault="002E4215" w:rsidP="002E4215"/>
          <w:p w14:paraId="143E0226" w14:textId="77777777" w:rsidR="002E4215" w:rsidRPr="002E4215" w:rsidRDefault="002E4215" w:rsidP="002E4215"/>
          <w:p w14:paraId="71C75A41" w14:textId="29E51983" w:rsidR="002E4215" w:rsidRDefault="002E4215" w:rsidP="002E4215"/>
          <w:p w14:paraId="551088C9" w14:textId="765C6AD2" w:rsidR="001F62DF" w:rsidRPr="002E4215" w:rsidRDefault="001F62DF" w:rsidP="002E4215">
            <w:pPr>
              <w:jc w:val="right"/>
            </w:pPr>
          </w:p>
        </w:tc>
        <w:tc>
          <w:tcPr>
            <w:tcW w:w="3292" w:type="dxa"/>
            <w:shd w:val="clear" w:color="auto" w:fill="FBE4D5" w:themeFill="accent2" w:themeFillTint="33"/>
            <w:tcMar>
              <w:top w:w="85" w:type="dxa"/>
              <w:left w:w="85" w:type="dxa"/>
              <w:bottom w:w="85" w:type="dxa"/>
              <w:right w:w="85" w:type="dxa"/>
            </w:tcMar>
          </w:tcPr>
          <w:p w14:paraId="04328167" w14:textId="77777777" w:rsidR="00937D47" w:rsidRPr="007F14F7" w:rsidRDefault="00937D47" w:rsidP="00937D47"/>
        </w:tc>
        <w:tc>
          <w:tcPr>
            <w:tcW w:w="3293" w:type="dxa"/>
            <w:shd w:val="clear" w:color="auto" w:fill="FBE4D5" w:themeFill="accent2" w:themeFillTint="33"/>
            <w:tcMar>
              <w:top w:w="85" w:type="dxa"/>
              <w:left w:w="85" w:type="dxa"/>
              <w:bottom w:w="85" w:type="dxa"/>
              <w:right w:w="85" w:type="dxa"/>
            </w:tcMar>
          </w:tcPr>
          <w:p w14:paraId="209AFC60" w14:textId="77777777" w:rsidR="00937D47" w:rsidRDefault="00937D47" w:rsidP="00937D47"/>
        </w:tc>
      </w:tr>
      <w:tr w:rsidR="00937D47" w:rsidRPr="007F14F7" w14:paraId="6A233574" w14:textId="77777777" w:rsidTr="001F62DF">
        <w:tc>
          <w:tcPr>
            <w:tcW w:w="2134" w:type="dxa"/>
            <w:shd w:val="clear" w:color="auto" w:fill="E2EFD9" w:themeFill="accent6" w:themeFillTint="33"/>
            <w:tcMar>
              <w:top w:w="85" w:type="dxa"/>
              <w:left w:w="85" w:type="dxa"/>
              <w:bottom w:w="85" w:type="dxa"/>
              <w:right w:w="85" w:type="dxa"/>
            </w:tcMar>
          </w:tcPr>
          <w:p w14:paraId="046117D1" w14:textId="77777777" w:rsidR="00937D47" w:rsidRPr="007F14F7" w:rsidRDefault="00937D47" w:rsidP="00937D47">
            <w:pPr>
              <w:rPr>
                <w:b/>
                <w:sz w:val="24"/>
              </w:rPr>
            </w:pPr>
            <w:r w:rsidRPr="007F14F7">
              <w:rPr>
                <w:b/>
                <w:sz w:val="24"/>
              </w:rPr>
              <w:lastRenderedPageBreak/>
              <w:t>Support</w:t>
            </w:r>
          </w:p>
        </w:tc>
        <w:tc>
          <w:tcPr>
            <w:tcW w:w="3292" w:type="dxa"/>
            <w:shd w:val="clear" w:color="auto" w:fill="E2EFD9" w:themeFill="accent6" w:themeFillTint="33"/>
            <w:tcMar>
              <w:top w:w="85" w:type="dxa"/>
              <w:left w:w="85" w:type="dxa"/>
              <w:bottom w:w="85" w:type="dxa"/>
              <w:right w:w="85" w:type="dxa"/>
            </w:tcMar>
          </w:tcPr>
          <w:p w14:paraId="1BDB69B2" w14:textId="77777777" w:rsidR="00937D47" w:rsidRPr="007F14F7" w:rsidRDefault="00937D47" w:rsidP="00937D47">
            <w:pPr>
              <w:rPr>
                <w:b/>
                <w:sz w:val="24"/>
              </w:rPr>
            </w:pPr>
            <w:r w:rsidRPr="007F14F7">
              <w:rPr>
                <w:b/>
                <w:sz w:val="24"/>
              </w:rPr>
              <w:t xml:space="preserve">Recruitment </w:t>
            </w:r>
          </w:p>
        </w:tc>
        <w:tc>
          <w:tcPr>
            <w:tcW w:w="3293" w:type="dxa"/>
            <w:shd w:val="clear" w:color="auto" w:fill="E2EFD9" w:themeFill="accent6" w:themeFillTint="33"/>
            <w:tcMar>
              <w:top w:w="85" w:type="dxa"/>
              <w:left w:w="85" w:type="dxa"/>
              <w:bottom w:w="85" w:type="dxa"/>
              <w:right w:w="85" w:type="dxa"/>
            </w:tcMar>
          </w:tcPr>
          <w:p w14:paraId="4B72910E" w14:textId="73996C78" w:rsidR="00937D47" w:rsidRPr="007F14F7" w:rsidRDefault="00937D47" w:rsidP="00937D47">
            <w:pPr>
              <w:rPr>
                <w:b/>
                <w:sz w:val="24"/>
              </w:rPr>
            </w:pPr>
            <w:r w:rsidRPr="007F14F7">
              <w:rPr>
                <w:b/>
                <w:sz w:val="24"/>
              </w:rPr>
              <w:t>Peer Support</w:t>
            </w:r>
            <w:r w:rsidR="002F60C3">
              <w:rPr>
                <w:b/>
                <w:sz w:val="24"/>
              </w:rPr>
              <w:t>/Mentoring</w:t>
            </w:r>
          </w:p>
          <w:p w14:paraId="05339331" w14:textId="77777777" w:rsidR="00937D47" w:rsidRPr="007F14F7" w:rsidRDefault="00937D47" w:rsidP="00937D47">
            <w:pPr>
              <w:rPr>
                <w:b/>
                <w:sz w:val="24"/>
              </w:rPr>
            </w:pPr>
          </w:p>
        </w:tc>
        <w:tc>
          <w:tcPr>
            <w:tcW w:w="3292" w:type="dxa"/>
            <w:shd w:val="clear" w:color="auto" w:fill="E2EFD9" w:themeFill="accent6" w:themeFillTint="33"/>
            <w:tcMar>
              <w:top w:w="85" w:type="dxa"/>
              <w:left w:w="85" w:type="dxa"/>
              <w:bottom w:w="85" w:type="dxa"/>
              <w:right w:w="85" w:type="dxa"/>
            </w:tcMar>
          </w:tcPr>
          <w:p w14:paraId="26A26EC2" w14:textId="77777777" w:rsidR="00937D47" w:rsidRPr="007F14F7" w:rsidRDefault="00937D47" w:rsidP="00937D47">
            <w:pPr>
              <w:rPr>
                <w:b/>
                <w:sz w:val="24"/>
              </w:rPr>
            </w:pPr>
            <w:r w:rsidRPr="007F14F7">
              <w:rPr>
                <w:b/>
                <w:sz w:val="24"/>
              </w:rPr>
              <w:t>Coaching/Mentoring</w:t>
            </w:r>
          </w:p>
          <w:p w14:paraId="407FC58B" w14:textId="77777777" w:rsidR="00937D47" w:rsidRPr="007F14F7" w:rsidRDefault="00937D47" w:rsidP="00937D47">
            <w:pPr>
              <w:rPr>
                <w:b/>
                <w:sz w:val="24"/>
              </w:rPr>
            </w:pPr>
          </w:p>
        </w:tc>
        <w:tc>
          <w:tcPr>
            <w:tcW w:w="3293" w:type="dxa"/>
            <w:shd w:val="clear" w:color="auto" w:fill="E2EFD9" w:themeFill="accent6" w:themeFillTint="33"/>
            <w:tcMar>
              <w:top w:w="85" w:type="dxa"/>
              <w:left w:w="85" w:type="dxa"/>
              <w:bottom w:w="85" w:type="dxa"/>
              <w:right w:w="85" w:type="dxa"/>
            </w:tcMar>
          </w:tcPr>
          <w:p w14:paraId="00CA40C3" w14:textId="77777777" w:rsidR="00937D47" w:rsidRPr="007F14F7" w:rsidRDefault="005A3B45" w:rsidP="00937D47">
            <w:pPr>
              <w:rPr>
                <w:b/>
                <w:sz w:val="24"/>
              </w:rPr>
            </w:pPr>
            <w:r w:rsidRPr="007F14F7">
              <w:rPr>
                <w:b/>
                <w:sz w:val="24"/>
              </w:rPr>
              <w:t>Advising/guiding r</w:t>
            </w:r>
            <w:r w:rsidR="00937D47" w:rsidRPr="007F14F7">
              <w:rPr>
                <w:b/>
                <w:sz w:val="24"/>
              </w:rPr>
              <w:t>esearchers re PPI</w:t>
            </w:r>
          </w:p>
        </w:tc>
      </w:tr>
      <w:tr w:rsidR="00937D47" w14:paraId="6204DBE2" w14:textId="77777777" w:rsidTr="001F62DF">
        <w:tc>
          <w:tcPr>
            <w:tcW w:w="2134" w:type="dxa"/>
            <w:tcMar>
              <w:top w:w="85" w:type="dxa"/>
              <w:left w:w="85" w:type="dxa"/>
              <w:bottom w:w="85" w:type="dxa"/>
              <w:right w:w="85" w:type="dxa"/>
            </w:tcMar>
          </w:tcPr>
          <w:p w14:paraId="70A3E82A" w14:textId="77777777" w:rsidR="00937D47" w:rsidRDefault="00937D47" w:rsidP="00937D47">
            <w:pPr>
              <w:rPr>
                <w:b/>
              </w:rPr>
            </w:pPr>
          </w:p>
          <w:p w14:paraId="419CED74" w14:textId="77777777" w:rsidR="00C15AD6" w:rsidRDefault="00C15AD6" w:rsidP="00937D47">
            <w:pPr>
              <w:rPr>
                <w:b/>
              </w:rPr>
            </w:pPr>
          </w:p>
          <w:p w14:paraId="1738D7AD" w14:textId="77777777" w:rsidR="00C15AD6" w:rsidRDefault="00C15AD6" w:rsidP="00937D47">
            <w:pPr>
              <w:rPr>
                <w:b/>
              </w:rPr>
            </w:pPr>
          </w:p>
          <w:p w14:paraId="5BCF2DD3" w14:textId="77777777" w:rsidR="00C15AD6" w:rsidRDefault="00C15AD6" w:rsidP="00937D47">
            <w:pPr>
              <w:rPr>
                <w:b/>
              </w:rPr>
            </w:pPr>
          </w:p>
          <w:p w14:paraId="04BFDD40" w14:textId="77777777" w:rsidR="00C15AD6" w:rsidRDefault="00C15AD6" w:rsidP="00937D47">
            <w:pPr>
              <w:rPr>
                <w:b/>
              </w:rPr>
            </w:pPr>
          </w:p>
          <w:p w14:paraId="5DA187ED" w14:textId="77777777" w:rsidR="00C15AD6" w:rsidRDefault="00C15AD6" w:rsidP="00937D47">
            <w:pPr>
              <w:rPr>
                <w:b/>
              </w:rPr>
            </w:pPr>
          </w:p>
          <w:p w14:paraId="3C57FECA" w14:textId="77777777" w:rsidR="00C15AD6" w:rsidRDefault="00C15AD6" w:rsidP="00937D47">
            <w:pPr>
              <w:rPr>
                <w:b/>
              </w:rPr>
            </w:pPr>
          </w:p>
          <w:p w14:paraId="714C0E2A" w14:textId="77777777" w:rsidR="00C15AD6" w:rsidRDefault="00C15AD6" w:rsidP="00937D47">
            <w:pPr>
              <w:rPr>
                <w:b/>
              </w:rPr>
            </w:pPr>
          </w:p>
          <w:p w14:paraId="636C64E9" w14:textId="77777777" w:rsidR="00C15AD6" w:rsidRDefault="00C15AD6" w:rsidP="00937D47">
            <w:pPr>
              <w:rPr>
                <w:b/>
              </w:rPr>
            </w:pPr>
          </w:p>
          <w:p w14:paraId="7D398265" w14:textId="77777777" w:rsidR="00C15AD6" w:rsidRDefault="00C15AD6" w:rsidP="00937D47">
            <w:pPr>
              <w:rPr>
                <w:b/>
              </w:rPr>
            </w:pPr>
          </w:p>
          <w:p w14:paraId="6626835B" w14:textId="77777777" w:rsidR="00C15AD6" w:rsidRDefault="00C15AD6" w:rsidP="00937D47">
            <w:pPr>
              <w:rPr>
                <w:b/>
              </w:rPr>
            </w:pPr>
          </w:p>
          <w:p w14:paraId="3B9BE6FD" w14:textId="77777777" w:rsidR="00C15AD6" w:rsidRDefault="00C15AD6" w:rsidP="00937D47">
            <w:pPr>
              <w:rPr>
                <w:b/>
              </w:rPr>
            </w:pPr>
          </w:p>
          <w:p w14:paraId="754D359E" w14:textId="77777777" w:rsidR="00C15AD6" w:rsidRDefault="00C15AD6" w:rsidP="00937D47">
            <w:pPr>
              <w:rPr>
                <w:b/>
              </w:rPr>
            </w:pPr>
          </w:p>
          <w:p w14:paraId="3B8479F6" w14:textId="77777777" w:rsidR="00C15AD6" w:rsidRDefault="00C15AD6" w:rsidP="00937D47">
            <w:pPr>
              <w:rPr>
                <w:b/>
              </w:rPr>
            </w:pPr>
          </w:p>
          <w:p w14:paraId="328F07BB" w14:textId="77777777" w:rsidR="00C15AD6" w:rsidRDefault="00C15AD6" w:rsidP="00937D47">
            <w:pPr>
              <w:rPr>
                <w:b/>
              </w:rPr>
            </w:pPr>
          </w:p>
          <w:p w14:paraId="2D1F7EB9" w14:textId="77777777" w:rsidR="00C15AD6" w:rsidRDefault="00C15AD6" w:rsidP="00937D47">
            <w:pPr>
              <w:rPr>
                <w:b/>
              </w:rPr>
            </w:pPr>
          </w:p>
          <w:p w14:paraId="7F9CCAD9" w14:textId="77777777" w:rsidR="00C15AD6" w:rsidRDefault="00C15AD6" w:rsidP="00937D47">
            <w:pPr>
              <w:rPr>
                <w:b/>
              </w:rPr>
            </w:pPr>
          </w:p>
          <w:p w14:paraId="4EB7496C" w14:textId="77777777" w:rsidR="00C15AD6" w:rsidRDefault="00C15AD6" w:rsidP="00937D47">
            <w:pPr>
              <w:rPr>
                <w:b/>
              </w:rPr>
            </w:pPr>
          </w:p>
          <w:p w14:paraId="4CC2F356" w14:textId="77777777" w:rsidR="00C15AD6" w:rsidRDefault="00C15AD6" w:rsidP="00937D47">
            <w:pPr>
              <w:rPr>
                <w:b/>
              </w:rPr>
            </w:pPr>
          </w:p>
          <w:p w14:paraId="3697C180" w14:textId="77777777" w:rsidR="00C15AD6" w:rsidRDefault="00C15AD6" w:rsidP="00937D47">
            <w:pPr>
              <w:rPr>
                <w:b/>
              </w:rPr>
            </w:pPr>
          </w:p>
          <w:p w14:paraId="72127C01" w14:textId="77777777" w:rsidR="00C15AD6" w:rsidRDefault="00C15AD6" w:rsidP="00937D47">
            <w:pPr>
              <w:rPr>
                <w:b/>
              </w:rPr>
            </w:pPr>
          </w:p>
          <w:p w14:paraId="012D4822" w14:textId="77777777" w:rsidR="00C15AD6" w:rsidRDefault="00C15AD6" w:rsidP="00937D47">
            <w:pPr>
              <w:rPr>
                <w:b/>
              </w:rPr>
            </w:pPr>
          </w:p>
          <w:p w14:paraId="7F345A40" w14:textId="77777777" w:rsidR="00C15AD6" w:rsidRDefault="00C15AD6" w:rsidP="00937D47">
            <w:pPr>
              <w:rPr>
                <w:b/>
              </w:rPr>
            </w:pPr>
          </w:p>
          <w:p w14:paraId="69E9B3A6" w14:textId="77777777" w:rsidR="00C15AD6" w:rsidRDefault="00C15AD6" w:rsidP="00937D47">
            <w:pPr>
              <w:rPr>
                <w:b/>
              </w:rPr>
            </w:pPr>
          </w:p>
          <w:p w14:paraId="28CB773D" w14:textId="77777777" w:rsidR="00C15AD6" w:rsidRDefault="00C15AD6" w:rsidP="00937D47">
            <w:pPr>
              <w:rPr>
                <w:b/>
              </w:rPr>
            </w:pPr>
          </w:p>
          <w:p w14:paraId="3AB583BA" w14:textId="77777777" w:rsidR="00C15AD6" w:rsidRDefault="00C15AD6" w:rsidP="00937D47">
            <w:pPr>
              <w:rPr>
                <w:b/>
              </w:rPr>
            </w:pPr>
          </w:p>
          <w:p w14:paraId="2C30D6B5" w14:textId="77777777" w:rsidR="00C15AD6" w:rsidRDefault="00C15AD6" w:rsidP="00937D47">
            <w:pPr>
              <w:rPr>
                <w:b/>
              </w:rPr>
            </w:pPr>
          </w:p>
          <w:p w14:paraId="23153354" w14:textId="77777777" w:rsidR="00C15AD6" w:rsidRDefault="00C15AD6" w:rsidP="00937D47">
            <w:pPr>
              <w:rPr>
                <w:b/>
              </w:rPr>
            </w:pPr>
          </w:p>
          <w:p w14:paraId="63C6A152" w14:textId="22BF61BC" w:rsidR="00C15AD6" w:rsidRPr="007F14F7" w:rsidRDefault="00C15AD6" w:rsidP="00937D47">
            <w:pPr>
              <w:rPr>
                <w:b/>
              </w:rPr>
            </w:pPr>
            <w:bookmarkStart w:id="0" w:name="_GoBack"/>
            <w:bookmarkEnd w:id="0"/>
          </w:p>
        </w:tc>
        <w:tc>
          <w:tcPr>
            <w:tcW w:w="3292" w:type="dxa"/>
            <w:shd w:val="clear" w:color="auto" w:fill="E2EFD9" w:themeFill="accent6" w:themeFillTint="33"/>
            <w:tcMar>
              <w:top w:w="85" w:type="dxa"/>
              <w:left w:w="85" w:type="dxa"/>
              <w:bottom w:w="85" w:type="dxa"/>
              <w:right w:w="85" w:type="dxa"/>
            </w:tcMar>
          </w:tcPr>
          <w:p w14:paraId="5627A798" w14:textId="77777777" w:rsidR="00937D47" w:rsidRPr="007F14F7" w:rsidRDefault="00937D47" w:rsidP="00937D47">
            <w:r w:rsidRPr="007F14F7">
              <w:t>From time to time there will be opportunities for ARC public contributors to be involved in recruitment activities.</w:t>
            </w:r>
          </w:p>
          <w:p w14:paraId="4A556622" w14:textId="77777777" w:rsidR="00937D47" w:rsidRPr="007F14F7" w:rsidRDefault="00937D47" w:rsidP="00937D47">
            <w:r w:rsidRPr="007F14F7">
              <w:t>This might be recruitment of:</w:t>
            </w:r>
          </w:p>
          <w:p w14:paraId="493C001E" w14:textId="77777777" w:rsidR="00937D47" w:rsidRPr="007F14F7" w:rsidRDefault="00937D47" w:rsidP="00937D47">
            <w:pPr>
              <w:pStyle w:val="ListParagraph"/>
              <w:numPr>
                <w:ilvl w:val="0"/>
                <w:numId w:val="4"/>
              </w:numPr>
              <w:ind w:left="325" w:hanging="325"/>
            </w:pPr>
            <w:r w:rsidRPr="007F14F7">
              <w:t>public contributors</w:t>
            </w:r>
          </w:p>
          <w:p w14:paraId="1DDD499B" w14:textId="77777777" w:rsidR="00937D47" w:rsidRPr="007F14F7" w:rsidRDefault="00937D47" w:rsidP="00937D47">
            <w:pPr>
              <w:pStyle w:val="ListParagraph"/>
              <w:numPr>
                <w:ilvl w:val="0"/>
                <w:numId w:val="4"/>
              </w:numPr>
              <w:ind w:left="325" w:hanging="325"/>
            </w:pPr>
            <w:r w:rsidRPr="007F14F7">
              <w:t>researchers (including DPhils)</w:t>
            </w:r>
          </w:p>
          <w:p w14:paraId="4D5D7675" w14:textId="77777777" w:rsidR="00937D47" w:rsidRPr="007F14F7" w:rsidRDefault="00937D47" w:rsidP="00937D47">
            <w:pPr>
              <w:pStyle w:val="ListParagraph"/>
              <w:numPr>
                <w:ilvl w:val="0"/>
                <w:numId w:val="4"/>
              </w:numPr>
              <w:ind w:left="325" w:hanging="325"/>
            </w:pPr>
            <w:r w:rsidRPr="007F14F7">
              <w:t>ARC staff</w:t>
            </w:r>
          </w:p>
          <w:p w14:paraId="1596345B" w14:textId="77777777" w:rsidR="00937D47" w:rsidRPr="007F14F7" w:rsidRDefault="00937D47" w:rsidP="00937D47"/>
        </w:tc>
        <w:tc>
          <w:tcPr>
            <w:tcW w:w="3293" w:type="dxa"/>
            <w:shd w:val="clear" w:color="auto" w:fill="E2EFD9" w:themeFill="accent6" w:themeFillTint="33"/>
            <w:tcMar>
              <w:top w:w="85" w:type="dxa"/>
              <w:left w:w="85" w:type="dxa"/>
              <w:bottom w:w="85" w:type="dxa"/>
              <w:right w:w="85" w:type="dxa"/>
            </w:tcMar>
          </w:tcPr>
          <w:p w14:paraId="03F3DB77" w14:textId="3EF8FD0D" w:rsidR="00937D47" w:rsidRPr="007F14F7" w:rsidRDefault="002F60C3" w:rsidP="00937D47">
            <w:r>
              <w:t>We have been</w:t>
            </w:r>
            <w:r w:rsidR="00937D47" w:rsidRPr="007F14F7">
              <w:t xml:space="preserve"> develop</w:t>
            </w:r>
            <w:r>
              <w:t>ing</w:t>
            </w:r>
            <w:r w:rsidR="00937D47" w:rsidRPr="007F14F7">
              <w:t xml:space="preserve"> mechanisms for peer support and encourag</w:t>
            </w:r>
            <w:r>
              <w:t xml:space="preserve">ing </w:t>
            </w:r>
            <w:r w:rsidR="00937D47" w:rsidRPr="007F14F7">
              <w:t>informal peer support within the ARC</w:t>
            </w:r>
            <w:r w:rsidR="00274CCE">
              <w:t>’</w:t>
            </w:r>
            <w:r w:rsidR="00937D47" w:rsidRPr="007F14F7">
              <w:t>s governance public contributors.</w:t>
            </w:r>
          </w:p>
          <w:p w14:paraId="3D371CE0" w14:textId="705C930F" w:rsidR="00937D47" w:rsidRPr="007F14F7" w:rsidRDefault="00937D47" w:rsidP="00937D47">
            <w:r w:rsidRPr="007F14F7">
              <w:t>To date we have explored</w:t>
            </w:r>
            <w:r w:rsidR="002F60C3">
              <w:t>/piloted</w:t>
            </w:r>
            <w:r w:rsidRPr="007F14F7">
              <w:t>:</w:t>
            </w:r>
          </w:p>
          <w:p w14:paraId="065BA382" w14:textId="77777777" w:rsidR="00937D47" w:rsidRPr="007F14F7" w:rsidRDefault="00937D47" w:rsidP="00937D47">
            <w:pPr>
              <w:pStyle w:val="ListParagraph"/>
              <w:numPr>
                <w:ilvl w:val="0"/>
                <w:numId w:val="5"/>
              </w:numPr>
              <w:ind w:left="296" w:hanging="283"/>
            </w:pPr>
            <w:r w:rsidRPr="007F14F7">
              <w:t>less formal meetings and social activities</w:t>
            </w:r>
          </w:p>
          <w:p w14:paraId="049C5572" w14:textId="49A978CD" w:rsidR="00937D47" w:rsidRPr="007F14F7" w:rsidRDefault="00937D47" w:rsidP="00937D47">
            <w:pPr>
              <w:pStyle w:val="ListParagraph"/>
              <w:numPr>
                <w:ilvl w:val="0"/>
                <w:numId w:val="5"/>
              </w:numPr>
              <w:ind w:left="296" w:hanging="283"/>
            </w:pPr>
            <w:r w:rsidRPr="007F14F7">
              <w:t>different ways of working to encourage more small</w:t>
            </w:r>
            <w:r w:rsidR="00274CCE">
              <w:t>-</w:t>
            </w:r>
            <w:r w:rsidRPr="007F14F7">
              <w:t>group and 1:1 connections</w:t>
            </w:r>
          </w:p>
          <w:p w14:paraId="6D9B9726" w14:textId="77777777" w:rsidR="00937D47" w:rsidRDefault="00937D47" w:rsidP="00937D47">
            <w:pPr>
              <w:pStyle w:val="ListParagraph"/>
              <w:numPr>
                <w:ilvl w:val="0"/>
                <w:numId w:val="5"/>
              </w:numPr>
              <w:ind w:left="296" w:hanging="283"/>
            </w:pPr>
            <w:r w:rsidRPr="007F14F7">
              <w:t>team building activities within formal meetings</w:t>
            </w:r>
          </w:p>
          <w:p w14:paraId="27F220B0" w14:textId="77777777" w:rsidR="002F60C3" w:rsidRDefault="002F60C3" w:rsidP="00937D47">
            <w:pPr>
              <w:pStyle w:val="ListParagraph"/>
              <w:numPr>
                <w:ilvl w:val="0"/>
                <w:numId w:val="5"/>
              </w:numPr>
              <w:ind w:left="296" w:hanging="283"/>
            </w:pPr>
            <w:r>
              <w:t>ring fenced (and paid for) time for our Strategy Board Public Partners to connect and support each other outside of formal meetings.</w:t>
            </w:r>
          </w:p>
          <w:p w14:paraId="7C86B81F" w14:textId="173070B0" w:rsidR="002F60C3" w:rsidRPr="007F14F7" w:rsidRDefault="002F60C3" w:rsidP="00937D47">
            <w:pPr>
              <w:pStyle w:val="ListParagraph"/>
              <w:numPr>
                <w:ilvl w:val="0"/>
                <w:numId w:val="5"/>
              </w:numPr>
              <w:ind w:left="296" w:hanging="283"/>
            </w:pPr>
            <w:r>
              <w:t>ring fenced (and paid for) time for both our experienced PPI Theme Champions and new PPI Theme Champions to connect outside of meetings at the early stages of joining a theme.</w:t>
            </w:r>
          </w:p>
        </w:tc>
        <w:tc>
          <w:tcPr>
            <w:tcW w:w="3292" w:type="dxa"/>
            <w:shd w:val="clear" w:color="auto" w:fill="E2EFD9" w:themeFill="accent6" w:themeFillTint="33"/>
            <w:tcMar>
              <w:top w:w="85" w:type="dxa"/>
              <w:left w:w="85" w:type="dxa"/>
              <w:bottom w:w="85" w:type="dxa"/>
              <w:right w:w="85" w:type="dxa"/>
            </w:tcMar>
          </w:tcPr>
          <w:p w14:paraId="575288ED" w14:textId="77777777" w:rsidR="00937D47" w:rsidRPr="007F14F7" w:rsidRDefault="00937D47" w:rsidP="00937D47">
            <w:pPr>
              <w:rPr>
                <w:b/>
                <w:i/>
              </w:rPr>
            </w:pPr>
            <w:r w:rsidRPr="007F14F7">
              <w:rPr>
                <w:b/>
                <w:i/>
              </w:rPr>
              <w:t>NOT YET DEVELOPED</w:t>
            </w:r>
          </w:p>
          <w:p w14:paraId="145BDC1E" w14:textId="77777777" w:rsidR="00937D47" w:rsidRPr="007F14F7" w:rsidRDefault="00937D47" w:rsidP="00937D47">
            <w:r w:rsidRPr="007F14F7">
              <w:t>The PPI Team (including our public contributors) are keen to explore the potential of providing PPI coaches/mentors for researchers (particularly early career researchers).  The PPI Monitoring to Learn work has further underpinned the potential benefits of this idea.  In order to progress this role we will need to think about:</w:t>
            </w:r>
          </w:p>
          <w:p w14:paraId="23183395" w14:textId="77777777" w:rsidR="00937D47" w:rsidRPr="007F14F7" w:rsidRDefault="00937D47" w:rsidP="00937D47">
            <w:pPr>
              <w:pStyle w:val="ListParagraph"/>
              <w:numPr>
                <w:ilvl w:val="0"/>
                <w:numId w:val="6"/>
              </w:numPr>
              <w:ind w:left="266" w:hanging="266"/>
            </w:pPr>
            <w:r w:rsidRPr="007F14F7">
              <w:t>what this ‘offer’ might look like</w:t>
            </w:r>
          </w:p>
          <w:p w14:paraId="727F95F2" w14:textId="77777777" w:rsidR="00937D47" w:rsidRPr="007F14F7" w:rsidRDefault="00937D47" w:rsidP="00937D47">
            <w:pPr>
              <w:pStyle w:val="ListParagraph"/>
              <w:numPr>
                <w:ilvl w:val="0"/>
                <w:numId w:val="6"/>
              </w:numPr>
              <w:ind w:left="266" w:hanging="266"/>
            </w:pPr>
            <w:r w:rsidRPr="007F14F7">
              <w:t>how we support public contributors to take on this role</w:t>
            </w:r>
          </w:p>
          <w:p w14:paraId="23A8554F" w14:textId="77777777" w:rsidR="00937D47" w:rsidRPr="007F14F7" w:rsidRDefault="00937D47" w:rsidP="00937D47">
            <w:pPr>
              <w:pStyle w:val="ListParagraph"/>
              <w:numPr>
                <w:ilvl w:val="0"/>
                <w:numId w:val="6"/>
              </w:numPr>
              <w:ind w:left="266" w:hanging="266"/>
            </w:pPr>
            <w:r w:rsidRPr="007F14F7">
              <w:t>what training or skills development we will need to offer</w:t>
            </w:r>
          </w:p>
        </w:tc>
        <w:tc>
          <w:tcPr>
            <w:tcW w:w="3293" w:type="dxa"/>
            <w:shd w:val="clear" w:color="auto" w:fill="E2EFD9" w:themeFill="accent6" w:themeFillTint="33"/>
            <w:tcMar>
              <w:top w:w="85" w:type="dxa"/>
              <w:left w:w="85" w:type="dxa"/>
              <w:bottom w:w="85" w:type="dxa"/>
              <w:right w:w="85" w:type="dxa"/>
            </w:tcMar>
          </w:tcPr>
          <w:p w14:paraId="0BDD7CDD" w14:textId="77777777" w:rsidR="005A3B45" w:rsidRPr="00433C22" w:rsidRDefault="005A3B45" w:rsidP="005A3B45">
            <w:pPr>
              <w:rPr>
                <w:b/>
                <w:i/>
              </w:rPr>
            </w:pPr>
            <w:r w:rsidRPr="00433C22">
              <w:rPr>
                <w:b/>
                <w:i/>
              </w:rPr>
              <w:t>NOT YET DEVELOPED</w:t>
            </w:r>
          </w:p>
          <w:p w14:paraId="4B0BD080" w14:textId="77777777" w:rsidR="005A3B45" w:rsidRDefault="005A3B45" w:rsidP="005A3B45">
            <w:r>
              <w:t>The PPI Team (including our public contributors) are keen to explore ways in which the team can offer PPI advice and guidance to researchers.  Possibilities to explore include:</w:t>
            </w:r>
          </w:p>
          <w:p w14:paraId="1F4A8A68" w14:textId="77777777" w:rsidR="005A3B45" w:rsidRDefault="005A3B45" w:rsidP="005A3B45">
            <w:pPr>
              <w:pStyle w:val="ListParagraph"/>
              <w:numPr>
                <w:ilvl w:val="0"/>
                <w:numId w:val="9"/>
              </w:numPr>
              <w:ind w:left="238" w:hanging="238"/>
            </w:pPr>
            <w:r>
              <w:t>Written guidance</w:t>
            </w:r>
          </w:p>
          <w:p w14:paraId="09AC6B56" w14:textId="77777777" w:rsidR="005A3B45" w:rsidRDefault="005A3B45" w:rsidP="005A3B45">
            <w:pPr>
              <w:pStyle w:val="ListParagraph"/>
              <w:numPr>
                <w:ilvl w:val="0"/>
                <w:numId w:val="9"/>
              </w:numPr>
              <w:ind w:left="238" w:hanging="238"/>
            </w:pPr>
            <w:r>
              <w:t>Workshops</w:t>
            </w:r>
          </w:p>
          <w:p w14:paraId="369E7485" w14:textId="77777777" w:rsidR="005A3B45" w:rsidRDefault="005A3B45" w:rsidP="005A3B45">
            <w:pPr>
              <w:pStyle w:val="ListParagraph"/>
              <w:numPr>
                <w:ilvl w:val="0"/>
                <w:numId w:val="9"/>
              </w:numPr>
              <w:ind w:left="238" w:hanging="238"/>
            </w:pPr>
            <w:r>
              <w:t>1:1 support</w:t>
            </w:r>
          </w:p>
          <w:p w14:paraId="77E8E795" w14:textId="77777777" w:rsidR="005A3B45" w:rsidRDefault="005A3B45" w:rsidP="005A3B45">
            <w:pPr>
              <w:pStyle w:val="ListParagraph"/>
              <w:numPr>
                <w:ilvl w:val="0"/>
                <w:numId w:val="9"/>
              </w:numPr>
              <w:ind w:left="238" w:hanging="238"/>
            </w:pPr>
            <w:r>
              <w:t>Reviewing PPI plans</w:t>
            </w:r>
          </w:p>
          <w:p w14:paraId="3D093418" w14:textId="77777777" w:rsidR="005A3B45" w:rsidRDefault="005A3B45" w:rsidP="005A3B45">
            <w:pPr>
              <w:pStyle w:val="ListParagraph"/>
              <w:numPr>
                <w:ilvl w:val="0"/>
                <w:numId w:val="9"/>
              </w:numPr>
              <w:ind w:left="238" w:hanging="238"/>
            </w:pPr>
            <w:r>
              <w:t>PPI ‘Cafes’ or similar</w:t>
            </w:r>
          </w:p>
          <w:p w14:paraId="25204507" w14:textId="77777777" w:rsidR="005A3B45" w:rsidRDefault="005A3B45" w:rsidP="005A3B45">
            <w:pPr>
              <w:pStyle w:val="ListParagraph"/>
              <w:numPr>
                <w:ilvl w:val="0"/>
                <w:numId w:val="9"/>
              </w:numPr>
              <w:ind w:left="238" w:hanging="238"/>
            </w:pPr>
            <w:r>
              <w:t>Speaking about PPI at events</w:t>
            </w:r>
          </w:p>
        </w:tc>
      </w:tr>
      <w:tr w:rsidR="00C447DF" w:rsidRPr="00C447DF" w14:paraId="7911F89C" w14:textId="77777777" w:rsidTr="001F62DF">
        <w:tc>
          <w:tcPr>
            <w:tcW w:w="2134" w:type="dxa"/>
            <w:tcMar>
              <w:top w:w="85" w:type="dxa"/>
              <w:left w:w="85" w:type="dxa"/>
              <w:bottom w:w="85" w:type="dxa"/>
              <w:right w:w="85" w:type="dxa"/>
            </w:tcMar>
          </w:tcPr>
          <w:p w14:paraId="6F744BBC" w14:textId="77777777" w:rsidR="00C447DF" w:rsidRPr="007F14F7" w:rsidRDefault="00C447DF" w:rsidP="00937D47"/>
        </w:tc>
        <w:tc>
          <w:tcPr>
            <w:tcW w:w="3292" w:type="dxa"/>
            <w:shd w:val="clear" w:color="auto" w:fill="E2EFD9" w:themeFill="accent6" w:themeFillTint="33"/>
            <w:tcMar>
              <w:top w:w="85" w:type="dxa"/>
              <w:left w:w="85" w:type="dxa"/>
              <w:bottom w:w="85" w:type="dxa"/>
              <w:right w:w="85" w:type="dxa"/>
            </w:tcMar>
          </w:tcPr>
          <w:p w14:paraId="5B8A54F2" w14:textId="77777777" w:rsidR="00C447DF" w:rsidRPr="007F14F7" w:rsidRDefault="00C447DF" w:rsidP="00937D47"/>
        </w:tc>
        <w:tc>
          <w:tcPr>
            <w:tcW w:w="3293" w:type="dxa"/>
            <w:shd w:val="clear" w:color="auto" w:fill="E2EFD9" w:themeFill="accent6" w:themeFillTint="33"/>
            <w:tcMar>
              <w:top w:w="85" w:type="dxa"/>
              <w:left w:w="85" w:type="dxa"/>
              <w:bottom w:w="85" w:type="dxa"/>
              <w:right w:w="85" w:type="dxa"/>
            </w:tcMar>
          </w:tcPr>
          <w:p w14:paraId="64E9A63F" w14:textId="77777777" w:rsidR="00C447DF" w:rsidRPr="007F14F7" w:rsidRDefault="00C447DF" w:rsidP="00937D47"/>
        </w:tc>
        <w:tc>
          <w:tcPr>
            <w:tcW w:w="3292" w:type="dxa"/>
            <w:shd w:val="clear" w:color="auto" w:fill="E2EFD9" w:themeFill="accent6" w:themeFillTint="33"/>
            <w:tcMar>
              <w:top w:w="85" w:type="dxa"/>
              <w:left w:w="85" w:type="dxa"/>
              <w:bottom w:w="85" w:type="dxa"/>
              <w:right w:w="85" w:type="dxa"/>
            </w:tcMar>
          </w:tcPr>
          <w:p w14:paraId="729BB306" w14:textId="77777777" w:rsidR="00C447DF" w:rsidRPr="007F14F7" w:rsidRDefault="00C447DF" w:rsidP="00937D47"/>
        </w:tc>
        <w:tc>
          <w:tcPr>
            <w:tcW w:w="3293" w:type="dxa"/>
            <w:shd w:val="clear" w:color="auto" w:fill="E2EFD9" w:themeFill="accent6" w:themeFillTint="33"/>
            <w:tcMar>
              <w:top w:w="85" w:type="dxa"/>
              <w:left w:w="85" w:type="dxa"/>
              <w:bottom w:w="85" w:type="dxa"/>
              <w:right w:w="85" w:type="dxa"/>
            </w:tcMar>
          </w:tcPr>
          <w:p w14:paraId="5A2FDBD9" w14:textId="77777777" w:rsidR="00C447DF" w:rsidRPr="00C447DF" w:rsidRDefault="00C447DF" w:rsidP="005A3B45">
            <w:r w:rsidRPr="00C447DF">
              <w:t>Also see:  Coaching/Mentoring</w:t>
            </w:r>
          </w:p>
        </w:tc>
      </w:tr>
      <w:tr w:rsidR="00937D47" w:rsidRPr="007F14F7" w14:paraId="0CA16C15" w14:textId="77777777" w:rsidTr="001F62DF">
        <w:tc>
          <w:tcPr>
            <w:tcW w:w="2134" w:type="dxa"/>
            <w:shd w:val="clear" w:color="auto" w:fill="FFF2CC" w:themeFill="accent4" w:themeFillTint="33"/>
            <w:tcMar>
              <w:top w:w="85" w:type="dxa"/>
              <w:left w:w="85" w:type="dxa"/>
              <w:bottom w:w="85" w:type="dxa"/>
              <w:right w:w="85" w:type="dxa"/>
            </w:tcMar>
          </w:tcPr>
          <w:p w14:paraId="417B5E46" w14:textId="77777777" w:rsidR="00937D47" w:rsidRPr="007F14F7" w:rsidRDefault="00937D47" w:rsidP="00937D47">
            <w:pPr>
              <w:rPr>
                <w:b/>
                <w:sz w:val="24"/>
              </w:rPr>
            </w:pPr>
            <w:r w:rsidRPr="007F14F7">
              <w:rPr>
                <w:b/>
                <w:sz w:val="24"/>
              </w:rPr>
              <w:lastRenderedPageBreak/>
              <w:t>Activities/tasks</w:t>
            </w:r>
          </w:p>
        </w:tc>
        <w:tc>
          <w:tcPr>
            <w:tcW w:w="3292" w:type="dxa"/>
            <w:shd w:val="clear" w:color="auto" w:fill="FFF2CC" w:themeFill="accent4" w:themeFillTint="33"/>
            <w:tcMar>
              <w:top w:w="85" w:type="dxa"/>
              <w:left w:w="85" w:type="dxa"/>
              <w:bottom w:w="85" w:type="dxa"/>
              <w:right w:w="85" w:type="dxa"/>
            </w:tcMar>
          </w:tcPr>
          <w:p w14:paraId="34DC88F5" w14:textId="77777777" w:rsidR="00937D47" w:rsidRPr="007F14F7" w:rsidRDefault="00937D47" w:rsidP="00937D47">
            <w:pPr>
              <w:rPr>
                <w:b/>
                <w:sz w:val="24"/>
              </w:rPr>
            </w:pPr>
            <w:r w:rsidRPr="007F14F7">
              <w:rPr>
                <w:b/>
                <w:sz w:val="24"/>
              </w:rPr>
              <w:t>PPI Monitoring to Learn</w:t>
            </w:r>
          </w:p>
          <w:p w14:paraId="0B7EFD91" w14:textId="77777777" w:rsidR="00937D47" w:rsidRPr="007F14F7" w:rsidRDefault="00937D47" w:rsidP="00937D47">
            <w:pPr>
              <w:rPr>
                <w:b/>
                <w:sz w:val="24"/>
              </w:rPr>
            </w:pPr>
          </w:p>
        </w:tc>
        <w:tc>
          <w:tcPr>
            <w:tcW w:w="3293" w:type="dxa"/>
            <w:shd w:val="clear" w:color="auto" w:fill="FFF2CC" w:themeFill="accent4" w:themeFillTint="33"/>
            <w:tcMar>
              <w:top w:w="85" w:type="dxa"/>
              <w:left w:w="85" w:type="dxa"/>
              <w:bottom w:w="85" w:type="dxa"/>
              <w:right w:w="85" w:type="dxa"/>
            </w:tcMar>
          </w:tcPr>
          <w:p w14:paraId="21D25FFF" w14:textId="77777777" w:rsidR="00937D47" w:rsidRPr="007F14F7" w:rsidRDefault="00937D47" w:rsidP="00937D47">
            <w:pPr>
              <w:rPr>
                <w:b/>
                <w:sz w:val="24"/>
              </w:rPr>
            </w:pPr>
            <w:r w:rsidRPr="007F14F7">
              <w:rPr>
                <w:b/>
                <w:sz w:val="24"/>
              </w:rPr>
              <w:t>Working Groups (WG)</w:t>
            </w:r>
          </w:p>
          <w:p w14:paraId="1EB97595" w14:textId="77777777" w:rsidR="00937D47" w:rsidRPr="007F14F7" w:rsidRDefault="00937D47" w:rsidP="00937D47">
            <w:pPr>
              <w:rPr>
                <w:b/>
                <w:sz w:val="24"/>
              </w:rPr>
            </w:pPr>
          </w:p>
        </w:tc>
        <w:tc>
          <w:tcPr>
            <w:tcW w:w="3292" w:type="dxa"/>
            <w:shd w:val="clear" w:color="auto" w:fill="FFF2CC" w:themeFill="accent4" w:themeFillTint="33"/>
            <w:tcMar>
              <w:top w:w="85" w:type="dxa"/>
              <w:left w:w="85" w:type="dxa"/>
              <w:bottom w:w="85" w:type="dxa"/>
              <w:right w:w="85" w:type="dxa"/>
            </w:tcMar>
          </w:tcPr>
          <w:p w14:paraId="4BE09498" w14:textId="77777777" w:rsidR="00937D47" w:rsidRPr="007F14F7" w:rsidRDefault="00937D47" w:rsidP="00937D47">
            <w:pPr>
              <w:rPr>
                <w:b/>
                <w:sz w:val="24"/>
              </w:rPr>
            </w:pPr>
            <w:r w:rsidRPr="007F14F7">
              <w:rPr>
                <w:b/>
                <w:sz w:val="24"/>
              </w:rPr>
              <w:t>Attending events</w:t>
            </w:r>
          </w:p>
        </w:tc>
        <w:tc>
          <w:tcPr>
            <w:tcW w:w="3293" w:type="dxa"/>
            <w:shd w:val="clear" w:color="auto" w:fill="FFF2CC" w:themeFill="accent4" w:themeFillTint="33"/>
            <w:tcMar>
              <w:top w:w="85" w:type="dxa"/>
              <w:left w:w="85" w:type="dxa"/>
              <w:bottom w:w="85" w:type="dxa"/>
              <w:right w:w="85" w:type="dxa"/>
            </w:tcMar>
          </w:tcPr>
          <w:p w14:paraId="01B15F4B" w14:textId="7BA6955E" w:rsidR="00937D47" w:rsidRPr="007F14F7" w:rsidRDefault="00612DBB" w:rsidP="00937D47">
            <w:pPr>
              <w:rPr>
                <w:b/>
                <w:sz w:val="24"/>
              </w:rPr>
            </w:pPr>
            <w:r>
              <w:rPr>
                <w:b/>
                <w:sz w:val="24"/>
              </w:rPr>
              <w:t>Planning Group</w:t>
            </w:r>
          </w:p>
        </w:tc>
      </w:tr>
      <w:tr w:rsidR="00937D47" w14:paraId="08448E37" w14:textId="77777777" w:rsidTr="001F62DF">
        <w:tc>
          <w:tcPr>
            <w:tcW w:w="2134" w:type="dxa"/>
            <w:tcMar>
              <w:top w:w="85" w:type="dxa"/>
              <w:left w:w="85" w:type="dxa"/>
              <w:bottom w:w="85" w:type="dxa"/>
              <w:right w:w="85" w:type="dxa"/>
            </w:tcMar>
          </w:tcPr>
          <w:p w14:paraId="27BC1F13" w14:textId="77777777" w:rsidR="00937D47" w:rsidRPr="007F14F7" w:rsidRDefault="00937D47" w:rsidP="00937D47">
            <w:pPr>
              <w:rPr>
                <w:b/>
              </w:rPr>
            </w:pPr>
          </w:p>
        </w:tc>
        <w:tc>
          <w:tcPr>
            <w:tcW w:w="3292" w:type="dxa"/>
            <w:shd w:val="clear" w:color="auto" w:fill="FFF2CC" w:themeFill="accent4" w:themeFillTint="33"/>
            <w:tcMar>
              <w:top w:w="85" w:type="dxa"/>
              <w:left w:w="85" w:type="dxa"/>
              <w:bottom w:w="85" w:type="dxa"/>
              <w:right w:w="85" w:type="dxa"/>
            </w:tcMar>
          </w:tcPr>
          <w:p w14:paraId="7700E445" w14:textId="77777777" w:rsidR="00937D47" w:rsidRPr="007F14F7" w:rsidRDefault="00937D47" w:rsidP="00937D47">
            <w:pPr>
              <w:pStyle w:val="ListParagraph"/>
              <w:numPr>
                <w:ilvl w:val="0"/>
                <w:numId w:val="2"/>
              </w:numPr>
              <w:ind w:left="310" w:hanging="284"/>
            </w:pPr>
            <w:r w:rsidRPr="007F14F7">
              <w:t>Building relationships with projects and researchers within their themes.</w:t>
            </w:r>
          </w:p>
          <w:p w14:paraId="78422DDA" w14:textId="77777777" w:rsidR="00937D47" w:rsidRPr="007F14F7" w:rsidRDefault="00937D47" w:rsidP="00937D47">
            <w:pPr>
              <w:pStyle w:val="ListParagraph"/>
              <w:numPr>
                <w:ilvl w:val="0"/>
                <w:numId w:val="2"/>
              </w:numPr>
              <w:ind w:left="310" w:hanging="284"/>
            </w:pPr>
            <w:r w:rsidRPr="007F14F7">
              <w:t>Developing an understanding of PPI activities within their theme.</w:t>
            </w:r>
          </w:p>
          <w:p w14:paraId="1DE5F351" w14:textId="77777777" w:rsidR="00937D47" w:rsidRPr="007F14F7" w:rsidRDefault="00937D47" w:rsidP="00937D47">
            <w:pPr>
              <w:pStyle w:val="ListParagraph"/>
              <w:numPr>
                <w:ilvl w:val="0"/>
                <w:numId w:val="2"/>
              </w:numPr>
              <w:ind w:left="310" w:hanging="284"/>
            </w:pPr>
            <w:r w:rsidRPr="007F14F7">
              <w:t>Offering support, guidance and advice about PPI development within the theme/theme research.</w:t>
            </w:r>
          </w:p>
          <w:p w14:paraId="19B42C4A" w14:textId="77777777" w:rsidR="00937D47" w:rsidRPr="007F14F7" w:rsidRDefault="00937D47" w:rsidP="00937D47">
            <w:pPr>
              <w:pStyle w:val="ListParagraph"/>
              <w:numPr>
                <w:ilvl w:val="0"/>
                <w:numId w:val="2"/>
              </w:numPr>
              <w:ind w:left="310" w:hanging="284"/>
            </w:pPr>
            <w:r w:rsidRPr="007F14F7">
              <w:t>Contributing to PPI Champions Group discussions about PPI across the ARC.</w:t>
            </w:r>
          </w:p>
          <w:p w14:paraId="3013DFC3" w14:textId="77777777" w:rsidR="00937D47" w:rsidRPr="007F14F7" w:rsidRDefault="00937D47" w:rsidP="00937D47">
            <w:pPr>
              <w:pStyle w:val="ListParagraph"/>
              <w:numPr>
                <w:ilvl w:val="0"/>
                <w:numId w:val="2"/>
              </w:numPr>
              <w:ind w:left="310" w:hanging="284"/>
            </w:pPr>
            <w:r w:rsidRPr="007F14F7">
              <w:t>Identifying good practice and lessons learnt, feeding those back to the Themes and more widely as appropriate.</w:t>
            </w:r>
          </w:p>
        </w:tc>
        <w:tc>
          <w:tcPr>
            <w:tcW w:w="3293" w:type="dxa"/>
            <w:shd w:val="clear" w:color="auto" w:fill="FFF2CC" w:themeFill="accent4" w:themeFillTint="33"/>
            <w:tcMar>
              <w:top w:w="85" w:type="dxa"/>
              <w:left w:w="85" w:type="dxa"/>
              <w:bottom w:w="85" w:type="dxa"/>
              <w:right w:w="85" w:type="dxa"/>
            </w:tcMar>
          </w:tcPr>
          <w:p w14:paraId="057BFD42" w14:textId="77777777" w:rsidR="00937D47" w:rsidRPr="007F14F7" w:rsidRDefault="00937D47" w:rsidP="00937D47">
            <w:r w:rsidRPr="007F14F7">
              <w:t>Working groups are set up to take forward tasks and activities identified by the PPI Champions Group, Strategy Board, Executive Group.  Members of the PPI team are invited to join as appropriate.  Examples of working groups include:</w:t>
            </w:r>
          </w:p>
          <w:p w14:paraId="00AF700C" w14:textId="77777777" w:rsidR="00937D47" w:rsidRPr="007F14F7" w:rsidRDefault="00937D47" w:rsidP="00937D47">
            <w:pPr>
              <w:pStyle w:val="ListParagraph"/>
              <w:numPr>
                <w:ilvl w:val="0"/>
                <w:numId w:val="3"/>
              </w:numPr>
              <w:ind w:left="296" w:hanging="283"/>
            </w:pPr>
            <w:r w:rsidRPr="007F14F7">
              <w:t>Showcase planning group</w:t>
            </w:r>
          </w:p>
          <w:p w14:paraId="656A3022" w14:textId="77777777" w:rsidR="00937D47" w:rsidRPr="007F14F7" w:rsidRDefault="00937D47" w:rsidP="00937D47">
            <w:pPr>
              <w:pStyle w:val="ListParagraph"/>
              <w:numPr>
                <w:ilvl w:val="0"/>
                <w:numId w:val="3"/>
              </w:numPr>
              <w:ind w:left="296" w:hanging="283"/>
            </w:pPr>
            <w:r w:rsidRPr="007F14F7">
              <w:t>Website review WG (PPI page)</w:t>
            </w:r>
          </w:p>
          <w:p w14:paraId="35C575E6" w14:textId="77777777" w:rsidR="00937D47" w:rsidRPr="007F14F7" w:rsidRDefault="00937D47" w:rsidP="00937D47">
            <w:pPr>
              <w:pStyle w:val="ListParagraph"/>
              <w:numPr>
                <w:ilvl w:val="0"/>
                <w:numId w:val="3"/>
              </w:numPr>
              <w:ind w:left="296" w:hanging="283"/>
            </w:pPr>
            <w:r w:rsidRPr="007F14F7">
              <w:t>PPI Funding WG</w:t>
            </w:r>
          </w:p>
          <w:p w14:paraId="7348CCEC" w14:textId="77777777" w:rsidR="00937D47" w:rsidRPr="007F14F7" w:rsidRDefault="00937D47" w:rsidP="00937D47">
            <w:pPr>
              <w:pStyle w:val="ListParagraph"/>
              <w:numPr>
                <w:ilvl w:val="0"/>
                <w:numId w:val="3"/>
              </w:numPr>
              <w:ind w:left="296" w:hanging="283"/>
            </w:pPr>
            <w:r w:rsidRPr="007F14F7">
              <w:t>Recruitment (PPI) WG</w:t>
            </w:r>
          </w:p>
          <w:p w14:paraId="4AEA67CE" w14:textId="77777777" w:rsidR="00937D47" w:rsidRPr="007F14F7" w:rsidRDefault="00937D47" w:rsidP="00937D47">
            <w:pPr>
              <w:pStyle w:val="ListParagraph"/>
              <w:numPr>
                <w:ilvl w:val="0"/>
                <w:numId w:val="3"/>
              </w:numPr>
              <w:ind w:left="296" w:hanging="283"/>
            </w:pPr>
            <w:r w:rsidRPr="007F14F7">
              <w:t>PPI Monitoring to Learn WG</w:t>
            </w:r>
          </w:p>
          <w:p w14:paraId="1D9D1D3C" w14:textId="7EA3683C" w:rsidR="00937D47" w:rsidRPr="007F14F7" w:rsidRDefault="00937D47" w:rsidP="00937D47">
            <w:pPr>
              <w:ind w:left="13"/>
            </w:pPr>
            <w:r w:rsidRPr="007F14F7">
              <w:t>The WG progresses work and keeps the relevant people updated on activity.</w:t>
            </w:r>
            <w:r w:rsidR="009B7644">
              <w:t xml:space="preserve"> All members of the working groups have the opportunity to present/update on activities at </w:t>
            </w:r>
            <w:r w:rsidR="00612DBB">
              <w:t>PPI Champions meetings and as required at Executive Group meetings.</w:t>
            </w:r>
          </w:p>
        </w:tc>
        <w:tc>
          <w:tcPr>
            <w:tcW w:w="3292" w:type="dxa"/>
            <w:shd w:val="clear" w:color="auto" w:fill="FFF2CC" w:themeFill="accent4" w:themeFillTint="33"/>
            <w:tcMar>
              <w:top w:w="85" w:type="dxa"/>
              <w:left w:w="85" w:type="dxa"/>
              <w:bottom w:w="85" w:type="dxa"/>
              <w:right w:w="85" w:type="dxa"/>
            </w:tcMar>
          </w:tcPr>
          <w:p w14:paraId="2F7740A5" w14:textId="77777777" w:rsidR="00937D47" w:rsidRPr="007F14F7" w:rsidRDefault="00937D47" w:rsidP="00385388">
            <w:pPr>
              <w:pStyle w:val="ListParagraph"/>
              <w:numPr>
                <w:ilvl w:val="0"/>
                <w:numId w:val="2"/>
              </w:numPr>
              <w:ind w:left="310" w:hanging="284"/>
            </w:pPr>
            <w:r w:rsidRPr="007F14F7">
              <w:t xml:space="preserve">From time to time there are opportunities for ARC public contributors to attend events such as meetings, conferences, networking events and webinars.  </w:t>
            </w:r>
          </w:p>
          <w:p w14:paraId="0CF7B61D" w14:textId="77777777" w:rsidR="00937D47" w:rsidRPr="007F14F7" w:rsidRDefault="00937D47" w:rsidP="00385388">
            <w:pPr>
              <w:pStyle w:val="ListParagraph"/>
              <w:numPr>
                <w:ilvl w:val="0"/>
                <w:numId w:val="2"/>
              </w:numPr>
              <w:ind w:left="310" w:hanging="284"/>
            </w:pPr>
            <w:r w:rsidRPr="007F14F7">
              <w:t>These may be internal or external to the ARC, Department or University.</w:t>
            </w:r>
          </w:p>
          <w:p w14:paraId="1612248B" w14:textId="77777777" w:rsidR="00937D47" w:rsidRPr="007F14F7" w:rsidRDefault="00937D47" w:rsidP="00385388">
            <w:pPr>
              <w:pStyle w:val="ListParagraph"/>
              <w:numPr>
                <w:ilvl w:val="0"/>
                <w:numId w:val="2"/>
              </w:numPr>
              <w:ind w:left="310" w:hanging="284"/>
            </w:pPr>
            <w:r w:rsidRPr="007F14F7">
              <w:t>The expectation is that anyone being paid to attend an event will produce a short report/provide a verbal update for/to the relevant group (usually the PPI Champions Group).</w:t>
            </w:r>
          </w:p>
        </w:tc>
        <w:tc>
          <w:tcPr>
            <w:tcW w:w="3293" w:type="dxa"/>
            <w:shd w:val="clear" w:color="auto" w:fill="FFF2CC" w:themeFill="accent4" w:themeFillTint="33"/>
            <w:tcMar>
              <w:top w:w="85" w:type="dxa"/>
              <w:left w:w="85" w:type="dxa"/>
              <w:bottom w:w="85" w:type="dxa"/>
              <w:right w:w="85" w:type="dxa"/>
            </w:tcMar>
          </w:tcPr>
          <w:p w14:paraId="5B677A16" w14:textId="2BC38120" w:rsidR="00612DBB" w:rsidRDefault="00612DBB" w:rsidP="00612DBB">
            <w:pPr>
              <w:pStyle w:val="ListParagraph"/>
              <w:numPr>
                <w:ilvl w:val="0"/>
                <w:numId w:val="1"/>
              </w:numPr>
              <w:spacing w:after="160" w:line="259" w:lineRule="auto"/>
              <w:ind w:left="281" w:hanging="281"/>
            </w:pPr>
            <w:r>
              <w:t>This group includes the PPI Champions Group Chair,</w:t>
            </w:r>
            <w:r w:rsidRPr="002F60C3">
              <w:t xml:space="preserve"> the PPI Lead, Co/vice/deputy chair (term to be agreed),</w:t>
            </w:r>
            <w:r w:rsidRPr="009B7644">
              <w:t xml:space="preserve"> a Strategy Board Public Partner</w:t>
            </w:r>
            <w:r>
              <w:t>.</w:t>
            </w:r>
          </w:p>
          <w:p w14:paraId="020C5DB7" w14:textId="058C2020" w:rsidR="00612DBB" w:rsidRDefault="00612DBB" w:rsidP="00612DBB">
            <w:pPr>
              <w:pStyle w:val="ListParagraph"/>
              <w:numPr>
                <w:ilvl w:val="0"/>
                <w:numId w:val="1"/>
              </w:numPr>
              <w:spacing w:after="160" w:line="259" w:lineRule="auto"/>
              <w:ind w:left="281" w:hanging="281"/>
            </w:pPr>
            <w:r>
              <w:t xml:space="preserve">They meet to </w:t>
            </w:r>
            <w:r w:rsidRPr="00082331">
              <w:t xml:space="preserve">plan </w:t>
            </w:r>
            <w:r>
              <w:t>PPI Champions Group meeting agendas and for any necessary follow up after meetings.</w:t>
            </w:r>
          </w:p>
          <w:p w14:paraId="7F281C1D" w14:textId="11B67924" w:rsidR="00612DBB" w:rsidRDefault="00612DBB" w:rsidP="00612DBB">
            <w:pPr>
              <w:pStyle w:val="ListParagraph"/>
              <w:numPr>
                <w:ilvl w:val="0"/>
                <w:numId w:val="1"/>
              </w:numPr>
              <w:spacing w:after="160" w:line="259" w:lineRule="auto"/>
              <w:ind w:left="281" w:hanging="281"/>
            </w:pPr>
            <w:r>
              <w:t>They meet at least once a year to review the PPI Action Plan and to plan the coming years work programme.</w:t>
            </w:r>
          </w:p>
          <w:p w14:paraId="20522682" w14:textId="7DAAE99E" w:rsidR="00612DBB" w:rsidRDefault="00612DBB" w:rsidP="00612DBB">
            <w:pPr>
              <w:pStyle w:val="ListParagraph"/>
              <w:numPr>
                <w:ilvl w:val="0"/>
                <w:numId w:val="1"/>
              </w:numPr>
              <w:spacing w:after="160" w:line="259" w:lineRule="auto"/>
              <w:ind w:left="281" w:hanging="281"/>
            </w:pPr>
            <w:r>
              <w:t>They contribute to PPI reporting.</w:t>
            </w:r>
          </w:p>
          <w:p w14:paraId="768A45FA" w14:textId="77777777" w:rsidR="00612DBB" w:rsidRDefault="00612DBB" w:rsidP="00612DBB">
            <w:pPr>
              <w:pStyle w:val="ListParagraph"/>
              <w:numPr>
                <w:ilvl w:val="0"/>
                <w:numId w:val="1"/>
              </w:numPr>
              <w:spacing w:after="160" w:line="259" w:lineRule="auto"/>
              <w:ind w:left="281" w:hanging="281"/>
            </w:pPr>
            <w:r>
              <w:t>They contribute to the PPI Strategic plan.</w:t>
            </w:r>
          </w:p>
          <w:p w14:paraId="789516B4" w14:textId="00542BF0" w:rsidR="00612DBB" w:rsidRPr="00082331" w:rsidRDefault="00612DBB" w:rsidP="00612DBB">
            <w:pPr>
              <w:pStyle w:val="ListParagraph"/>
              <w:numPr>
                <w:ilvl w:val="0"/>
                <w:numId w:val="1"/>
              </w:numPr>
              <w:spacing w:after="160" w:line="259" w:lineRule="auto"/>
              <w:ind w:left="281" w:hanging="281"/>
            </w:pPr>
            <w:r>
              <w:t>They support the development of the PPI Action Plan.</w:t>
            </w:r>
          </w:p>
          <w:p w14:paraId="5110B034" w14:textId="77777777" w:rsidR="00937D47" w:rsidRDefault="00937D47" w:rsidP="00937D47"/>
        </w:tc>
      </w:tr>
      <w:tr w:rsidR="002F60C3" w:rsidRPr="007F14F7" w14:paraId="11E73AD8" w14:textId="77777777" w:rsidTr="00AB3603">
        <w:tc>
          <w:tcPr>
            <w:tcW w:w="2134" w:type="dxa"/>
            <w:shd w:val="clear" w:color="auto" w:fill="DEEAF6" w:themeFill="accent1" w:themeFillTint="33"/>
          </w:tcPr>
          <w:p w14:paraId="36F5420E" w14:textId="77777777" w:rsidR="002F60C3" w:rsidRPr="007F14F7" w:rsidRDefault="002F60C3" w:rsidP="00082331">
            <w:pPr>
              <w:rPr>
                <w:b/>
                <w:sz w:val="24"/>
              </w:rPr>
            </w:pPr>
            <w:r w:rsidRPr="007F14F7">
              <w:rPr>
                <w:b/>
                <w:sz w:val="24"/>
              </w:rPr>
              <w:t xml:space="preserve">Groups </w:t>
            </w:r>
            <w:r>
              <w:rPr>
                <w:b/>
                <w:sz w:val="24"/>
              </w:rPr>
              <w:t>&amp;</w:t>
            </w:r>
            <w:r w:rsidRPr="007F14F7">
              <w:rPr>
                <w:b/>
                <w:sz w:val="24"/>
              </w:rPr>
              <w:t xml:space="preserve"> meetings</w:t>
            </w:r>
          </w:p>
        </w:tc>
        <w:tc>
          <w:tcPr>
            <w:tcW w:w="3292" w:type="dxa"/>
            <w:shd w:val="clear" w:color="auto" w:fill="DEEAF6" w:themeFill="accent1" w:themeFillTint="33"/>
          </w:tcPr>
          <w:p w14:paraId="79F3DB63" w14:textId="77777777" w:rsidR="002F60C3" w:rsidRPr="007F14F7" w:rsidRDefault="002F60C3" w:rsidP="00082331">
            <w:pPr>
              <w:rPr>
                <w:b/>
                <w:sz w:val="24"/>
              </w:rPr>
            </w:pPr>
            <w:r w:rsidRPr="007F14F7">
              <w:rPr>
                <w:b/>
                <w:sz w:val="24"/>
              </w:rPr>
              <w:t>Theme PPI Champions</w:t>
            </w:r>
          </w:p>
        </w:tc>
        <w:tc>
          <w:tcPr>
            <w:tcW w:w="3293" w:type="dxa"/>
            <w:shd w:val="clear" w:color="auto" w:fill="DEEAF6" w:themeFill="accent1" w:themeFillTint="33"/>
          </w:tcPr>
          <w:p w14:paraId="1B347009" w14:textId="77777777" w:rsidR="002F60C3" w:rsidRPr="007F14F7" w:rsidRDefault="002F60C3" w:rsidP="00082331">
            <w:pPr>
              <w:rPr>
                <w:b/>
                <w:sz w:val="24"/>
              </w:rPr>
            </w:pPr>
            <w:r w:rsidRPr="007F14F7">
              <w:rPr>
                <w:b/>
                <w:sz w:val="24"/>
              </w:rPr>
              <w:t>Strategy Board Public Partners</w:t>
            </w:r>
          </w:p>
        </w:tc>
        <w:tc>
          <w:tcPr>
            <w:tcW w:w="3292" w:type="dxa"/>
            <w:shd w:val="clear" w:color="auto" w:fill="DEEAF6" w:themeFill="accent1" w:themeFillTint="33"/>
          </w:tcPr>
          <w:p w14:paraId="45BAC18A" w14:textId="77777777" w:rsidR="002F60C3" w:rsidRPr="007F14F7" w:rsidRDefault="002F60C3" w:rsidP="00082331">
            <w:pPr>
              <w:rPr>
                <w:b/>
                <w:sz w:val="24"/>
              </w:rPr>
            </w:pPr>
            <w:r w:rsidRPr="007F14F7">
              <w:rPr>
                <w:b/>
                <w:sz w:val="24"/>
              </w:rPr>
              <w:t>PPI Champions Group</w:t>
            </w:r>
          </w:p>
        </w:tc>
        <w:tc>
          <w:tcPr>
            <w:tcW w:w="3293" w:type="dxa"/>
            <w:shd w:val="clear" w:color="auto" w:fill="DEEAF6" w:themeFill="accent1" w:themeFillTint="33"/>
          </w:tcPr>
          <w:p w14:paraId="289FB4C9" w14:textId="77777777" w:rsidR="002F60C3" w:rsidRPr="007F14F7" w:rsidRDefault="002F60C3" w:rsidP="00082331">
            <w:pPr>
              <w:rPr>
                <w:b/>
                <w:sz w:val="24"/>
              </w:rPr>
            </w:pPr>
            <w:r>
              <w:rPr>
                <w:b/>
                <w:sz w:val="24"/>
              </w:rPr>
              <w:t>PPI Champions Group Chair &amp; associated roles</w:t>
            </w:r>
          </w:p>
        </w:tc>
      </w:tr>
      <w:tr w:rsidR="002F60C3" w14:paraId="0C0BE9AE" w14:textId="77777777" w:rsidTr="00AB3603">
        <w:tc>
          <w:tcPr>
            <w:tcW w:w="2134" w:type="dxa"/>
            <w:shd w:val="clear" w:color="auto" w:fill="auto"/>
          </w:tcPr>
          <w:p w14:paraId="6EC9304E" w14:textId="77777777" w:rsidR="002F60C3" w:rsidRPr="007F14F7" w:rsidRDefault="002F60C3" w:rsidP="00082331">
            <w:pPr>
              <w:rPr>
                <w:b/>
              </w:rPr>
            </w:pPr>
          </w:p>
        </w:tc>
        <w:tc>
          <w:tcPr>
            <w:tcW w:w="3292" w:type="dxa"/>
            <w:shd w:val="clear" w:color="auto" w:fill="DEEAF6" w:themeFill="accent1" w:themeFillTint="33"/>
          </w:tcPr>
          <w:p w14:paraId="374F173F" w14:textId="77777777" w:rsidR="002F60C3" w:rsidRPr="007F14F7" w:rsidRDefault="002F60C3" w:rsidP="00082331">
            <w:pPr>
              <w:pStyle w:val="ListParagraph"/>
              <w:numPr>
                <w:ilvl w:val="0"/>
                <w:numId w:val="1"/>
              </w:numPr>
              <w:ind w:left="310" w:hanging="284"/>
            </w:pPr>
            <w:r w:rsidRPr="007F14F7">
              <w:t>Attendance at theme meetings.</w:t>
            </w:r>
          </w:p>
          <w:p w14:paraId="703BAFEA" w14:textId="77777777" w:rsidR="002F60C3" w:rsidRPr="007F14F7" w:rsidRDefault="002F60C3" w:rsidP="00082331">
            <w:pPr>
              <w:pStyle w:val="ListParagraph"/>
              <w:numPr>
                <w:ilvl w:val="0"/>
                <w:numId w:val="1"/>
              </w:numPr>
              <w:ind w:left="310" w:hanging="284"/>
            </w:pPr>
            <w:r w:rsidRPr="007F14F7">
              <w:t>Offering advice or guidance on PPI activity for theme research.</w:t>
            </w:r>
          </w:p>
          <w:p w14:paraId="3CD890A8" w14:textId="77777777" w:rsidR="002F60C3" w:rsidRPr="007F14F7" w:rsidRDefault="002F60C3" w:rsidP="00082331">
            <w:pPr>
              <w:pStyle w:val="ListParagraph"/>
              <w:numPr>
                <w:ilvl w:val="0"/>
                <w:numId w:val="1"/>
              </w:numPr>
              <w:ind w:left="310" w:hanging="284"/>
            </w:pPr>
            <w:r w:rsidRPr="007F14F7">
              <w:lastRenderedPageBreak/>
              <w:t>Sharing updates on ARC and wider PPI developments.</w:t>
            </w:r>
          </w:p>
          <w:p w14:paraId="5B323F31" w14:textId="77777777" w:rsidR="002F60C3" w:rsidRPr="007F14F7" w:rsidRDefault="002F60C3" w:rsidP="00082331">
            <w:pPr>
              <w:pStyle w:val="ListParagraph"/>
              <w:numPr>
                <w:ilvl w:val="0"/>
                <w:numId w:val="1"/>
              </w:numPr>
              <w:ind w:left="310" w:hanging="284"/>
            </w:pPr>
            <w:r w:rsidRPr="007F14F7">
              <w:t>Getting to know theme research projects.</w:t>
            </w:r>
          </w:p>
          <w:p w14:paraId="31AF238D" w14:textId="4F9AD114" w:rsidR="002F60C3" w:rsidRPr="007F14F7" w:rsidRDefault="002F60C3" w:rsidP="00082331">
            <w:pPr>
              <w:pStyle w:val="ListParagraph"/>
              <w:numPr>
                <w:ilvl w:val="0"/>
                <w:numId w:val="1"/>
              </w:numPr>
              <w:ind w:left="310" w:hanging="284"/>
            </w:pPr>
            <w:r w:rsidRPr="007F14F7">
              <w:t>Active partner in decision making about theme</w:t>
            </w:r>
            <w:r w:rsidR="00385388">
              <w:t>-</w:t>
            </w:r>
            <w:r w:rsidRPr="007F14F7">
              <w:t>related activities such as how to use underspends.</w:t>
            </w:r>
          </w:p>
          <w:p w14:paraId="26F3AF84" w14:textId="77777777" w:rsidR="002F60C3" w:rsidRDefault="002F60C3" w:rsidP="00082331">
            <w:pPr>
              <w:pStyle w:val="ListParagraph"/>
              <w:numPr>
                <w:ilvl w:val="0"/>
                <w:numId w:val="1"/>
              </w:numPr>
              <w:ind w:left="310" w:hanging="284"/>
            </w:pPr>
            <w:r w:rsidRPr="007F14F7">
              <w:t>Contributing to reports about theme activity such as the annual report.</w:t>
            </w:r>
          </w:p>
          <w:p w14:paraId="6DA125E1" w14:textId="77777777" w:rsidR="002F60C3" w:rsidRPr="007F14F7" w:rsidRDefault="002F60C3" w:rsidP="00082331">
            <w:pPr>
              <w:pStyle w:val="ListParagraph"/>
              <w:ind w:left="310"/>
            </w:pPr>
          </w:p>
        </w:tc>
        <w:tc>
          <w:tcPr>
            <w:tcW w:w="3293" w:type="dxa"/>
            <w:shd w:val="clear" w:color="auto" w:fill="DEEAF6" w:themeFill="accent1" w:themeFillTint="33"/>
          </w:tcPr>
          <w:p w14:paraId="5A371B27" w14:textId="77777777" w:rsidR="002F60C3" w:rsidRPr="007F14F7" w:rsidRDefault="002F60C3" w:rsidP="00082331">
            <w:pPr>
              <w:pStyle w:val="ListParagraph"/>
              <w:numPr>
                <w:ilvl w:val="0"/>
                <w:numId w:val="1"/>
              </w:numPr>
              <w:ind w:left="281" w:hanging="281"/>
            </w:pPr>
            <w:r w:rsidRPr="007F14F7">
              <w:lastRenderedPageBreak/>
              <w:t>Attendance at Strategy Board meetings.</w:t>
            </w:r>
          </w:p>
          <w:p w14:paraId="0F198F19" w14:textId="77777777" w:rsidR="002F60C3" w:rsidRPr="007F14F7" w:rsidRDefault="002F60C3" w:rsidP="00082331">
            <w:pPr>
              <w:pStyle w:val="ListParagraph"/>
              <w:numPr>
                <w:ilvl w:val="0"/>
                <w:numId w:val="1"/>
              </w:numPr>
              <w:ind w:left="281" w:hanging="281"/>
            </w:pPr>
            <w:r w:rsidRPr="007F14F7">
              <w:t>Sharing updates on ARC and wider PPI developments.</w:t>
            </w:r>
          </w:p>
          <w:p w14:paraId="62936315" w14:textId="77777777" w:rsidR="002F60C3" w:rsidRPr="007F14F7" w:rsidRDefault="002F60C3" w:rsidP="00082331">
            <w:pPr>
              <w:pStyle w:val="ListParagraph"/>
              <w:numPr>
                <w:ilvl w:val="0"/>
                <w:numId w:val="1"/>
              </w:numPr>
              <w:ind w:left="281" w:hanging="281"/>
            </w:pPr>
            <w:r w:rsidRPr="007F14F7">
              <w:t>Getting to know the work of the ARC.</w:t>
            </w:r>
          </w:p>
          <w:p w14:paraId="4B4D14E3" w14:textId="77777777" w:rsidR="002F60C3" w:rsidRPr="007F14F7" w:rsidRDefault="002F60C3" w:rsidP="00082331">
            <w:pPr>
              <w:pStyle w:val="ListParagraph"/>
              <w:numPr>
                <w:ilvl w:val="0"/>
                <w:numId w:val="1"/>
              </w:numPr>
              <w:ind w:left="281" w:hanging="281"/>
            </w:pPr>
            <w:r w:rsidRPr="007F14F7">
              <w:lastRenderedPageBreak/>
              <w:t>Active partner in decision making about ARC Governance and Strategy related activities.</w:t>
            </w:r>
          </w:p>
          <w:p w14:paraId="672736C2" w14:textId="77777777" w:rsidR="002F60C3" w:rsidRPr="007F14F7" w:rsidRDefault="002F60C3" w:rsidP="00082331">
            <w:pPr>
              <w:pStyle w:val="ListParagraph"/>
              <w:numPr>
                <w:ilvl w:val="0"/>
                <w:numId w:val="1"/>
              </w:numPr>
              <w:ind w:left="281" w:hanging="281"/>
            </w:pPr>
            <w:r w:rsidRPr="007F14F7">
              <w:t>Contributing to reports about ARC activity such as the annual report.</w:t>
            </w:r>
          </w:p>
          <w:p w14:paraId="666C98B3" w14:textId="77777777" w:rsidR="002F60C3" w:rsidRPr="007F14F7" w:rsidRDefault="002F60C3" w:rsidP="00082331"/>
        </w:tc>
        <w:tc>
          <w:tcPr>
            <w:tcW w:w="3292" w:type="dxa"/>
            <w:shd w:val="clear" w:color="auto" w:fill="DEEAF6" w:themeFill="accent1" w:themeFillTint="33"/>
          </w:tcPr>
          <w:p w14:paraId="6F2AFE44" w14:textId="77777777" w:rsidR="002F60C3" w:rsidRPr="007F14F7" w:rsidRDefault="002F60C3" w:rsidP="00082331">
            <w:pPr>
              <w:pStyle w:val="ListParagraph"/>
              <w:numPr>
                <w:ilvl w:val="0"/>
                <w:numId w:val="1"/>
              </w:numPr>
              <w:ind w:left="281" w:hanging="281"/>
            </w:pPr>
            <w:r w:rsidRPr="007F14F7">
              <w:lastRenderedPageBreak/>
              <w:t>Group discussions about PPI across the ARC.</w:t>
            </w:r>
          </w:p>
          <w:p w14:paraId="5F695E7A" w14:textId="77777777" w:rsidR="002F60C3" w:rsidRPr="007F14F7" w:rsidRDefault="002F60C3" w:rsidP="00082331">
            <w:pPr>
              <w:pStyle w:val="ListParagraph"/>
              <w:numPr>
                <w:ilvl w:val="0"/>
                <w:numId w:val="1"/>
              </w:numPr>
              <w:ind w:left="281" w:hanging="281"/>
            </w:pPr>
            <w:r w:rsidRPr="007F14F7">
              <w:t>Identifying good practice and lessons learnt and developing ways to share these learnings.</w:t>
            </w:r>
          </w:p>
          <w:p w14:paraId="685A5E30" w14:textId="21CF852F" w:rsidR="002F60C3" w:rsidRPr="007F14F7" w:rsidRDefault="002F60C3" w:rsidP="00082331">
            <w:pPr>
              <w:pStyle w:val="ListParagraph"/>
              <w:numPr>
                <w:ilvl w:val="0"/>
                <w:numId w:val="1"/>
              </w:numPr>
              <w:ind w:left="281" w:hanging="281"/>
            </w:pPr>
            <w:r w:rsidRPr="007F14F7">
              <w:lastRenderedPageBreak/>
              <w:t>Contributing to, supporting and monitoring the ARC</w:t>
            </w:r>
            <w:r w:rsidR="00C629C3">
              <w:t>’</w:t>
            </w:r>
            <w:r w:rsidRPr="007F14F7">
              <w:t>s PPI strategy.</w:t>
            </w:r>
          </w:p>
          <w:p w14:paraId="6DDC388B" w14:textId="77777777" w:rsidR="002F60C3" w:rsidRPr="007F14F7" w:rsidRDefault="002F60C3" w:rsidP="00082331">
            <w:pPr>
              <w:pStyle w:val="ListParagraph"/>
              <w:numPr>
                <w:ilvl w:val="0"/>
                <w:numId w:val="1"/>
              </w:numPr>
              <w:ind w:left="281" w:hanging="281"/>
            </w:pPr>
            <w:r w:rsidRPr="007F14F7">
              <w:t>Supporting and contributing to the development of work to progress the strategy.</w:t>
            </w:r>
          </w:p>
          <w:p w14:paraId="347215EC" w14:textId="77777777" w:rsidR="002F60C3" w:rsidRDefault="002F60C3" w:rsidP="00082331">
            <w:pPr>
              <w:pStyle w:val="ListParagraph"/>
              <w:numPr>
                <w:ilvl w:val="0"/>
                <w:numId w:val="1"/>
              </w:numPr>
              <w:ind w:left="281" w:hanging="281"/>
            </w:pPr>
            <w:r w:rsidRPr="007F14F7">
              <w:t>Contributing to and discussing ARC governance issues such as annual reporting, renewal etc.</w:t>
            </w:r>
          </w:p>
          <w:p w14:paraId="17BFC818" w14:textId="77777777" w:rsidR="002F60C3" w:rsidRPr="007F14F7" w:rsidRDefault="002F60C3" w:rsidP="00082331">
            <w:pPr>
              <w:pStyle w:val="ListParagraph"/>
              <w:numPr>
                <w:ilvl w:val="0"/>
                <w:numId w:val="1"/>
              </w:numPr>
              <w:ind w:left="281" w:hanging="281"/>
            </w:pPr>
            <w:r>
              <w:t>Presenting or updating on projects.</w:t>
            </w:r>
          </w:p>
        </w:tc>
        <w:tc>
          <w:tcPr>
            <w:tcW w:w="3293" w:type="dxa"/>
            <w:shd w:val="clear" w:color="auto" w:fill="DEEAF6" w:themeFill="accent1" w:themeFillTint="33"/>
          </w:tcPr>
          <w:p w14:paraId="336BED87" w14:textId="24C6A56C" w:rsidR="002F60C3" w:rsidRPr="00612DBB" w:rsidRDefault="002F60C3" w:rsidP="00082331">
            <w:pPr>
              <w:pStyle w:val="ListParagraph"/>
              <w:numPr>
                <w:ilvl w:val="0"/>
                <w:numId w:val="1"/>
              </w:numPr>
              <w:spacing w:after="160" w:line="259" w:lineRule="auto"/>
              <w:ind w:left="281" w:hanging="281"/>
            </w:pPr>
            <w:r w:rsidRPr="002F60C3">
              <w:lastRenderedPageBreak/>
              <w:t>Works with the PPI Lead, Co/vice/deputy chair (term to be agreed),</w:t>
            </w:r>
            <w:r w:rsidRPr="009B7644">
              <w:t xml:space="preserve"> </w:t>
            </w:r>
            <w:r w:rsidR="00C629C3">
              <w:t xml:space="preserve">and </w:t>
            </w:r>
            <w:r w:rsidRPr="009B7644">
              <w:t>a Strategy Board Public Partner</w:t>
            </w:r>
            <w:r w:rsidRPr="00612DBB">
              <w:t xml:space="preserve"> to plan group work and agendas for meetings.</w:t>
            </w:r>
          </w:p>
          <w:p w14:paraId="4E841F58" w14:textId="77777777" w:rsidR="002F60C3" w:rsidRPr="002F60C3" w:rsidRDefault="002F60C3" w:rsidP="00082331">
            <w:pPr>
              <w:pStyle w:val="ListParagraph"/>
              <w:numPr>
                <w:ilvl w:val="0"/>
                <w:numId w:val="1"/>
              </w:numPr>
              <w:spacing w:after="160" w:line="259" w:lineRule="auto"/>
              <w:ind w:left="281" w:hanging="281"/>
            </w:pPr>
            <w:r w:rsidRPr="002F60C3">
              <w:lastRenderedPageBreak/>
              <w:t>Chairs group meetings.</w:t>
            </w:r>
          </w:p>
          <w:p w14:paraId="3DB361DD" w14:textId="70C9DB23" w:rsidR="002F60C3" w:rsidRDefault="002F60C3" w:rsidP="00082331">
            <w:pPr>
              <w:pStyle w:val="ListParagraph"/>
              <w:numPr>
                <w:ilvl w:val="0"/>
                <w:numId w:val="1"/>
              </w:numPr>
              <w:spacing w:after="160" w:line="259" w:lineRule="auto"/>
              <w:ind w:left="281" w:hanging="281"/>
            </w:pPr>
            <w:r w:rsidRPr="002F60C3">
              <w:t>Over</w:t>
            </w:r>
            <w:r w:rsidR="00C629C3">
              <w:t xml:space="preserve"> </w:t>
            </w:r>
            <w:r w:rsidRPr="002F60C3">
              <w:t xml:space="preserve">time develops an understanding of PPI matters across the ARC. </w:t>
            </w:r>
          </w:p>
          <w:p w14:paraId="1D88C436" w14:textId="56191B8A" w:rsidR="006C3110" w:rsidRPr="006C3110" w:rsidRDefault="006C3110" w:rsidP="00082331">
            <w:pPr>
              <w:pStyle w:val="ListParagraph"/>
              <w:numPr>
                <w:ilvl w:val="0"/>
                <w:numId w:val="1"/>
              </w:numPr>
              <w:spacing w:after="160" w:line="259" w:lineRule="auto"/>
              <w:ind w:left="281" w:hanging="281"/>
            </w:pPr>
            <w:r>
              <w:t>Can substitute for Strategy Board Public Partners as needed and when agreed with the ARC Senior manager.</w:t>
            </w:r>
          </w:p>
          <w:p w14:paraId="12FE5996" w14:textId="2D097C49" w:rsidR="002F60C3" w:rsidRPr="00385388" w:rsidRDefault="002F60C3" w:rsidP="00082331">
            <w:r w:rsidRPr="002F60C3">
              <w:t>Co/vice/deputy chair (term to be agreed) works closely with the Group Chair</w:t>
            </w:r>
            <w:r w:rsidRPr="00385388">
              <w:t xml:space="preserve"> to develop skills and confidence.</w:t>
            </w:r>
          </w:p>
          <w:p w14:paraId="47669D65" w14:textId="77777777" w:rsidR="002F60C3" w:rsidRPr="00385388" w:rsidRDefault="002F60C3" w:rsidP="00082331"/>
          <w:p w14:paraId="25BE2E88" w14:textId="3B1D7EA8" w:rsidR="002F60C3" w:rsidRPr="002F60C3" w:rsidRDefault="002F60C3" w:rsidP="00082331">
            <w:r w:rsidRPr="00385388">
              <w:t>Opportunities to present at group meetings (eg updating on working groups/projects) and other meetings (internal/external) as required.</w:t>
            </w:r>
          </w:p>
        </w:tc>
      </w:tr>
      <w:tr w:rsidR="002F60C3" w14:paraId="1FAE2F58" w14:textId="77777777" w:rsidTr="00AB3603">
        <w:tc>
          <w:tcPr>
            <w:tcW w:w="2134" w:type="dxa"/>
            <w:shd w:val="clear" w:color="auto" w:fill="auto"/>
          </w:tcPr>
          <w:p w14:paraId="40107C9F" w14:textId="77777777" w:rsidR="002F60C3" w:rsidRPr="007F14F7" w:rsidRDefault="002F60C3" w:rsidP="00082331">
            <w:pPr>
              <w:rPr>
                <w:b/>
              </w:rPr>
            </w:pPr>
          </w:p>
        </w:tc>
        <w:tc>
          <w:tcPr>
            <w:tcW w:w="3292" w:type="dxa"/>
            <w:shd w:val="clear" w:color="auto" w:fill="DEEAF6" w:themeFill="accent1" w:themeFillTint="33"/>
          </w:tcPr>
          <w:p w14:paraId="5389B361" w14:textId="77777777" w:rsidR="002F60C3" w:rsidRPr="007F14F7" w:rsidRDefault="002F60C3" w:rsidP="00082331">
            <w:r w:rsidRPr="007F14F7">
              <w:t>Also see:  PPI Monitoring to Learn; recruitment</w:t>
            </w:r>
          </w:p>
        </w:tc>
        <w:tc>
          <w:tcPr>
            <w:tcW w:w="3293" w:type="dxa"/>
            <w:shd w:val="clear" w:color="auto" w:fill="DEEAF6" w:themeFill="accent1" w:themeFillTint="33"/>
          </w:tcPr>
          <w:p w14:paraId="64B38559" w14:textId="77777777" w:rsidR="002F60C3" w:rsidRDefault="002F60C3" w:rsidP="00082331">
            <w:r w:rsidRPr="007F14F7">
              <w:t>Also see: PPI Champions Group; Strategic/governance document review</w:t>
            </w:r>
          </w:p>
          <w:p w14:paraId="560FA3DD" w14:textId="77777777" w:rsidR="002F60C3" w:rsidRPr="007F14F7" w:rsidRDefault="002F60C3" w:rsidP="00082331"/>
        </w:tc>
        <w:tc>
          <w:tcPr>
            <w:tcW w:w="3292" w:type="dxa"/>
            <w:shd w:val="clear" w:color="auto" w:fill="DEEAF6" w:themeFill="accent1" w:themeFillTint="33"/>
          </w:tcPr>
          <w:p w14:paraId="310E2AC8" w14:textId="77777777" w:rsidR="002F60C3" w:rsidRPr="007F14F7" w:rsidRDefault="002F60C3" w:rsidP="00082331"/>
        </w:tc>
        <w:tc>
          <w:tcPr>
            <w:tcW w:w="3293" w:type="dxa"/>
            <w:shd w:val="clear" w:color="auto" w:fill="DEEAF6" w:themeFill="accent1" w:themeFillTint="33"/>
          </w:tcPr>
          <w:p w14:paraId="078BF7CD" w14:textId="77777777" w:rsidR="002F60C3" w:rsidRPr="002F60C3" w:rsidRDefault="002F60C3" w:rsidP="00082331"/>
        </w:tc>
      </w:tr>
    </w:tbl>
    <w:p w14:paraId="491086DB" w14:textId="77777777" w:rsidR="0054019F" w:rsidRDefault="0054019F"/>
    <w:sectPr w:rsidR="0054019F" w:rsidSect="0054019F">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EBFB9" w14:textId="77777777" w:rsidR="007F6BFB" w:rsidRDefault="007F6BFB" w:rsidP="00593177">
      <w:pPr>
        <w:spacing w:after="0" w:line="240" w:lineRule="auto"/>
      </w:pPr>
      <w:r>
        <w:separator/>
      </w:r>
    </w:p>
  </w:endnote>
  <w:endnote w:type="continuationSeparator" w:id="0">
    <w:p w14:paraId="2AF25C7A" w14:textId="77777777" w:rsidR="007F6BFB" w:rsidRDefault="007F6BFB" w:rsidP="0059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6665FCDD" w14:textId="10A3F506" w:rsidR="00C15AD6" w:rsidRPr="003E47B2" w:rsidRDefault="00C15AD6" w:rsidP="00C15AD6">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1</w:t>
        </w:r>
        <w:r w:rsidRPr="003E47B2">
          <w:rPr>
            <w:noProof/>
            <w:sz w:val="20"/>
            <w:szCs w:val="20"/>
          </w:rPr>
          <w:fldChar w:fldCharType="end"/>
        </w:r>
      </w:p>
    </w:sdtContent>
  </w:sdt>
  <w:p w14:paraId="0E90FA57" w14:textId="58BA8677" w:rsidR="002E4215" w:rsidRPr="00C15AD6" w:rsidRDefault="00C15AD6" w:rsidP="00C15AD6">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CFAD" w14:textId="77777777" w:rsidR="007F6BFB" w:rsidRDefault="007F6BFB" w:rsidP="00593177">
      <w:pPr>
        <w:spacing w:after="0" w:line="240" w:lineRule="auto"/>
      </w:pPr>
      <w:r>
        <w:separator/>
      </w:r>
    </w:p>
  </w:footnote>
  <w:footnote w:type="continuationSeparator" w:id="0">
    <w:p w14:paraId="12958FDA" w14:textId="77777777" w:rsidR="007F6BFB" w:rsidRDefault="007F6BFB" w:rsidP="0059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9885" w14:textId="1678A07C" w:rsidR="007F14F7" w:rsidRDefault="007F14F7" w:rsidP="00593177">
    <w:pPr>
      <w:pStyle w:val="Header"/>
      <w:jc w:val="right"/>
      <w:rPr>
        <w:b/>
      </w:rPr>
    </w:pPr>
    <w:r w:rsidRPr="007F14F7">
      <w:rPr>
        <w:b/>
      </w:rPr>
      <w:t>NIHR ARC OxTV Governance Public Contributors</w:t>
    </w:r>
    <w:r w:rsidR="002E4215">
      <w:rPr>
        <w:b/>
      </w:rPr>
      <w:t xml:space="preserve"> R</w:t>
    </w:r>
    <w:r w:rsidRPr="007F14F7">
      <w:rPr>
        <w:b/>
      </w:rPr>
      <w:t>oles and opportunities</w:t>
    </w:r>
    <w:r w:rsidR="002E4215">
      <w:rPr>
        <w:b/>
      </w:rPr>
      <w:t xml:space="preserve"> 2025</w:t>
    </w:r>
  </w:p>
  <w:p w14:paraId="19DE0E2B" w14:textId="77777777" w:rsidR="007F14F7" w:rsidRPr="00593177" w:rsidRDefault="007F14F7" w:rsidP="005931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87EB6"/>
    <w:multiLevelType w:val="hybridMultilevel"/>
    <w:tmpl w:val="8A1E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829AF"/>
    <w:multiLevelType w:val="hybridMultilevel"/>
    <w:tmpl w:val="D0BE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92CB4"/>
    <w:multiLevelType w:val="hybridMultilevel"/>
    <w:tmpl w:val="5BB2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A417C"/>
    <w:multiLevelType w:val="hybridMultilevel"/>
    <w:tmpl w:val="02B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D056B"/>
    <w:multiLevelType w:val="hybridMultilevel"/>
    <w:tmpl w:val="407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122E6"/>
    <w:multiLevelType w:val="hybridMultilevel"/>
    <w:tmpl w:val="F96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62BC9"/>
    <w:multiLevelType w:val="hybridMultilevel"/>
    <w:tmpl w:val="07E4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A46CA"/>
    <w:multiLevelType w:val="hybridMultilevel"/>
    <w:tmpl w:val="06BE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FC402C"/>
    <w:multiLevelType w:val="hybridMultilevel"/>
    <w:tmpl w:val="3DF2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9F"/>
    <w:rsid w:val="000D3918"/>
    <w:rsid w:val="001275D7"/>
    <w:rsid w:val="001F62DF"/>
    <w:rsid w:val="00274CCE"/>
    <w:rsid w:val="002B0220"/>
    <w:rsid w:val="002B7D88"/>
    <w:rsid w:val="002E4215"/>
    <w:rsid w:val="002F60C3"/>
    <w:rsid w:val="00332C90"/>
    <w:rsid w:val="00340266"/>
    <w:rsid w:val="003817FB"/>
    <w:rsid w:val="00385388"/>
    <w:rsid w:val="00433C22"/>
    <w:rsid w:val="0054019F"/>
    <w:rsid w:val="00570097"/>
    <w:rsid w:val="00593177"/>
    <w:rsid w:val="005A3B45"/>
    <w:rsid w:val="005A69B4"/>
    <w:rsid w:val="00612DBB"/>
    <w:rsid w:val="00637A8B"/>
    <w:rsid w:val="0064051E"/>
    <w:rsid w:val="00646978"/>
    <w:rsid w:val="006C3110"/>
    <w:rsid w:val="0070240B"/>
    <w:rsid w:val="00761E82"/>
    <w:rsid w:val="007F14F7"/>
    <w:rsid w:val="007F6BFB"/>
    <w:rsid w:val="008C400F"/>
    <w:rsid w:val="008D72B6"/>
    <w:rsid w:val="0091542B"/>
    <w:rsid w:val="00916488"/>
    <w:rsid w:val="00937D47"/>
    <w:rsid w:val="009B7644"/>
    <w:rsid w:val="00AB3603"/>
    <w:rsid w:val="00AE7140"/>
    <w:rsid w:val="00B31895"/>
    <w:rsid w:val="00C15AD6"/>
    <w:rsid w:val="00C447DF"/>
    <w:rsid w:val="00C55842"/>
    <w:rsid w:val="00C629C3"/>
    <w:rsid w:val="00C77F46"/>
    <w:rsid w:val="00CA2228"/>
    <w:rsid w:val="00EF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6A0C"/>
  <w15:chartTrackingRefBased/>
  <w15:docId w15:val="{724AEDED-7E17-449B-8A3C-D03582C0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5D7"/>
    <w:pPr>
      <w:ind w:left="720"/>
      <w:contextualSpacing/>
    </w:pPr>
  </w:style>
  <w:style w:type="paragraph" w:styleId="Header">
    <w:name w:val="header"/>
    <w:basedOn w:val="Normal"/>
    <w:link w:val="HeaderChar"/>
    <w:uiPriority w:val="99"/>
    <w:unhideWhenUsed/>
    <w:rsid w:val="00593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177"/>
  </w:style>
  <w:style w:type="paragraph" w:styleId="Footer">
    <w:name w:val="footer"/>
    <w:basedOn w:val="Normal"/>
    <w:link w:val="FooterChar"/>
    <w:uiPriority w:val="99"/>
    <w:unhideWhenUsed/>
    <w:rsid w:val="00593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177"/>
  </w:style>
  <w:style w:type="paragraph" w:styleId="BalloonText">
    <w:name w:val="Balloon Text"/>
    <w:basedOn w:val="Normal"/>
    <w:link w:val="BalloonTextChar"/>
    <w:uiPriority w:val="99"/>
    <w:semiHidden/>
    <w:unhideWhenUsed/>
    <w:rsid w:val="0064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78"/>
    <w:rPr>
      <w:rFonts w:ascii="Segoe UI" w:hAnsi="Segoe UI" w:cs="Segoe UI"/>
      <w:sz w:val="18"/>
      <w:szCs w:val="18"/>
    </w:rPr>
  </w:style>
  <w:style w:type="paragraph" w:styleId="Revision">
    <w:name w:val="Revision"/>
    <w:hidden/>
    <w:uiPriority w:val="99"/>
    <w:semiHidden/>
    <w:rsid w:val="00385388"/>
    <w:pPr>
      <w:spacing w:after="0" w:line="240" w:lineRule="auto"/>
    </w:pPr>
  </w:style>
  <w:style w:type="paragraph" w:customStyle="1" w:styleId="paragraph">
    <w:name w:val="paragraph"/>
    <w:basedOn w:val="Normal"/>
    <w:rsid w:val="00C15A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C15AD6"/>
  </w:style>
  <w:style w:type="character" w:customStyle="1" w:styleId="normaltextrun">
    <w:name w:val="normaltextrun"/>
    <w:basedOn w:val="DefaultParagraphFont"/>
    <w:rsid w:val="00C1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Props1.xml><?xml version="1.0" encoding="utf-8"?>
<ds:datastoreItem xmlns:ds="http://schemas.openxmlformats.org/officeDocument/2006/customXml" ds:itemID="{C69051CA-4573-4EDA-861D-33E78B76ABF4}">
  <ds:schemaRefs>
    <ds:schemaRef ds:uri="http://schemas.microsoft.com/sharepoint/v3/contenttype/forms"/>
  </ds:schemaRefs>
</ds:datastoreItem>
</file>

<file path=customXml/itemProps2.xml><?xml version="1.0" encoding="utf-8"?>
<ds:datastoreItem xmlns:ds="http://schemas.openxmlformats.org/officeDocument/2006/customXml" ds:itemID="{2EF19264-54C0-4A54-B107-194E8C4C7C2A}"/>
</file>

<file path=customXml/itemProps3.xml><?xml version="1.0" encoding="utf-8"?>
<ds:datastoreItem xmlns:ds="http://schemas.openxmlformats.org/officeDocument/2006/customXml" ds:itemID="{0DC222DC-8F1B-4FC9-AF48-D3E9AEBFB10E}">
  <ds:schemaRefs>
    <ds:schemaRef ds:uri="http://schemas.microsoft.com/office/2006/documentManagement/types"/>
    <ds:schemaRef ds:uri="3c154889-87f7-479b-97fe-73bc5ae448ec"/>
    <ds:schemaRef ds:uri="http://purl.org/dc/elements/1.1/"/>
    <ds:schemaRef ds:uri="http://schemas.microsoft.com/office/2006/metadata/properties"/>
    <ds:schemaRef ds:uri="e94d35e0-714e-49c9-ade3-3e69825f4130"/>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5</cp:revision>
  <dcterms:created xsi:type="dcterms:W3CDTF">2025-12-12T13:06:00Z</dcterms:created>
  <dcterms:modified xsi:type="dcterms:W3CDTF">2025-12-12T13:14:00Z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