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DAD9E" w14:textId="77777777" w:rsidR="003E6011" w:rsidRPr="00061A87" w:rsidRDefault="003E6011" w:rsidP="003E6011">
      <w:pPr>
        <w:rPr>
          <w:b/>
          <w:szCs w:val="24"/>
          <w:u w:val="single"/>
        </w:rPr>
      </w:pPr>
      <w:r w:rsidRPr="00AF0774">
        <w:rPr>
          <w:rFonts w:cstheme="minorHAnsi"/>
          <w:b/>
          <w:sz w:val="28"/>
          <w:szCs w:val="24"/>
        </w:rPr>
        <w:t xml:space="preserve">Governance Public Contributors </w:t>
      </w:r>
      <w:r w:rsidRPr="00C35316">
        <w:rPr>
          <w:rFonts w:cstheme="minorHAnsi"/>
          <w:b/>
          <w:sz w:val="28"/>
          <w:szCs w:val="24"/>
        </w:rPr>
        <w:t>Induction Process</w:t>
      </w:r>
    </w:p>
    <w:p w14:paraId="315A80D5" w14:textId="77777777" w:rsidR="003E6011" w:rsidRDefault="003E6011" w:rsidP="003E6011">
      <w:pPr>
        <w:pStyle w:val="CommentText"/>
        <w:rPr>
          <w:rFonts w:cstheme="minorHAnsi"/>
          <w:sz w:val="24"/>
          <w:szCs w:val="24"/>
        </w:rPr>
      </w:pPr>
      <w:r>
        <w:rPr>
          <w:rFonts w:cstheme="minorHAnsi"/>
          <w:sz w:val="24"/>
          <w:szCs w:val="24"/>
        </w:rPr>
        <w:t>Post re</w:t>
      </w:r>
      <w:r w:rsidRPr="00AD2999">
        <w:rPr>
          <w:rFonts w:cstheme="minorHAnsi"/>
          <w:sz w:val="24"/>
          <w:szCs w:val="24"/>
        </w:rPr>
        <w:t xml:space="preserve">cruitment we offer an induction support period to new ARC Governance public contributors that spans the first 6 months to a year depending on how things are going. </w:t>
      </w:r>
    </w:p>
    <w:p w14:paraId="780D3DB9" w14:textId="77777777" w:rsidR="003E6011" w:rsidRPr="00AD2999" w:rsidRDefault="003E6011" w:rsidP="003E6011">
      <w:pPr>
        <w:pStyle w:val="CommentText"/>
      </w:pPr>
      <w:r w:rsidRPr="0FCC21A3">
        <w:rPr>
          <w:sz w:val="24"/>
          <w:szCs w:val="24"/>
        </w:rPr>
        <w:t>All time frames in this document are just an indication and what actually happens will depend on the numbers of people being inducted, the needs/availability of the new Public Contri</w:t>
      </w:r>
      <w:bookmarkStart w:id="0" w:name="_GoBack"/>
      <w:bookmarkEnd w:id="0"/>
      <w:r w:rsidRPr="0FCC21A3">
        <w:rPr>
          <w:sz w:val="24"/>
          <w:szCs w:val="24"/>
        </w:rPr>
        <w:t>butors, timings of meetings and general workload/capacity of those managing the process.</w:t>
      </w:r>
    </w:p>
    <w:p w14:paraId="2F05D3F3" w14:textId="77777777" w:rsidR="003E6011" w:rsidRPr="00AD2999" w:rsidRDefault="003E6011" w:rsidP="003E6011">
      <w:pPr>
        <w:rPr>
          <w:rFonts w:cstheme="minorHAnsi"/>
          <w:b/>
          <w:sz w:val="24"/>
          <w:szCs w:val="24"/>
          <w:u w:val="single"/>
        </w:rPr>
      </w:pPr>
      <w:commentRangeStart w:id="1"/>
      <w:r w:rsidRPr="00AD2999">
        <w:rPr>
          <w:rFonts w:cstheme="minorHAnsi"/>
          <w:b/>
          <w:sz w:val="24"/>
          <w:szCs w:val="24"/>
          <w:u w:val="single"/>
        </w:rPr>
        <w:t>0-3 months</w:t>
      </w:r>
      <w:commentRangeEnd w:id="1"/>
      <w:r w:rsidRPr="00AD2999">
        <w:rPr>
          <w:rStyle w:val="CommentReference"/>
          <w:rFonts w:cstheme="minorHAnsi"/>
          <w:sz w:val="24"/>
          <w:szCs w:val="24"/>
        </w:rPr>
        <w:commentReference w:id="1"/>
      </w:r>
    </w:p>
    <w:p w14:paraId="0DA0E0EE" w14:textId="77777777" w:rsidR="003E6011" w:rsidRPr="00DA51E1" w:rsidRDefault="003E6011" w:rsidP="0D121F6F">
      <w:pPr>
        <w:rPr>
          <w:b/>
          <w:bCs/>
          <w:i/>
          <w:iCs/>
          <w:color w:val="70AD47" w:themeColor="accent6"/>
          <w:sz w:val="24"/>
          <w:szCs w:val="24"/>
        </w:rPr>
      </w:pPr>
      <w:r w:rsidRPr="0D121F6F">
        <w:rPr>
          <w:b/>
          <w:bCs/>
          <w:i/>
          <w:iCs/>
          <w:sz w:val="24"/>
          <w:szCs w:val="24"/>
        </w:rPr>
        <w:t xml:space="preserve">Within the first 1/2 months: </w:t>
      </w:r>
      <w:r w:rsidRPr="0D121F6F">
        <w:rPr>
          <w:sz w:val="24"/>
          <w:szCs w:val="24"/>
        </w:rPr>
        <w:t>Introductory email sent and follow up 1:1 meeting post recruitment covering the following information:</w:t>
      </w:r>
    </w:p>
    <w:p w14:paraId="6FE1C128" w14:textId="77777777" w:rsidR="003E6011" w:rsidRPr="00AD2999" w:rsidRDefault="003E6011" w:rsidP="004213A2">
      <w:pPr>
        <w:pStyle w:val="ListParagraph"/>
        <w:numPr>
          <w:ilvl w:val="0"/>
          <w:numId w:val="5"/>
        </w:numPr>
        <w:spacing w:line="259" w:lineRule="auto"/>
        <w:rPr>
          <w:rFonts w:cstheme="minorHAnsi"/>
          <w:sz w:val="24"/>
          <w:szCs w:val="24"/>
        </w:rPr>
      </w:pPr>
      <w:r w:rsidRPr="00AD2999">
        <w:rPr>
          <w:rFonts w:cstheme="minorHAnsi"/>
          <w:sz w:val="24"/>
          <w:szCs w:val="24"/>
        </w:rPr>
        <w:t xml:space="preserve">ARCs - </w:t>
      </w:r>
      <w:hyperlink r:id="rId13" w:history="1">
        <w:r w:rsidRPr="00AD2999">
          <w:rPr>
            <w:rStyle w:val="Hyperlink"/>
            <w:rFonts w:cstheme="minorHAnsi"/>
            <w:sz w:val="24"/>
            <w:szCs w:val="24"/>
          </w:rPr>
          <w:t>Collaborating in applied health research | NIHR</w:t>
        </w:r>
      </w:hyperlink>
    </w:p>
    <w:p w14:paraId="42BC0C4C" w14:textId="65CB476D" w:rsidR="003E6011" w:rsidRPr="00AD2999" w:rsidRDefault="003E6011" w:rsidP="0FCC21A3">
      <w:pPr>
        <w:pStyle w:val="ListParagraph"/>
        <w:numPr>
          <w:ilvl w:val="0"/>
          <w:numId w:val="5"/>
        </w:numPr>
        <w:spacing w:line="259" w:lineRule="auto"/>
        <w:rPr>
          <w:sz w:val="24"/>
          <w:szCs w:val="24"/>
        </w:rPr>
      </w:pPr>
      <w:r w:rsidRPr="0FCC21A3">
        <w:rPr>
          <w:sz w:val="24"/>
          <w:szCs w:val="24"/>
        </w:rPr>
        <w:t>ARC</w:t>
      </w:r>
      <w:r w:rsidR="5ED3B908" w:rsidRPr="0FCC21A3">
        <w:rPr>
          <w:sz w:val="24"/>
          <w:szCs w:val="24"/>
        </w:rPr>
        <w:t xml:space="preserve"> </w:t>
      </w:r>
      <w:r w:rsidRPr="0FCC21A3">
        <w:rPr>
          <w:sz w:val="24"/>
          <w:szCs w:val="24"/>
        </w:rPr>
        <w:t xml:space="preserve">OxTV - </w:t>
      </w:r>
      <w:hyperlink r:id="rId14">
        <w:r w:rsidRPr="0FCC21A3">
          <w:rPr>
            <w:rStyle w:val="Hyperlink"/>
            <w:sz w:val="24"/>
            <w:szCs w:val="24"/>
          </w:rPr>
          <w:t>About us — NIHR Applied Research Collaboration Oxford and Thames Valley</w:t>
        </w:r>
      </w:hyperlink>
    </w:p>
    <w:p w14:paraId="4330A7AF" w14:textId="77777777" w:rsidR="003E6011" w:rsidRPr="00AD2999" w:rsidRDefault="003E6011" w:rsidP="004213A2">
      <w:pPr>
        <w:pStyle w:val="ListParagraph"/>
        <w:numPr>
          <w:ilvl w:val="0"/>
          <w:numId w:val="5"/>
        </w:numPr>
        <w:spacing w:line="259" w:lineRule="auto"/>
        <w:rPr>
          <w:rFonts w:cstheme="minorHAnsi"/>
          <w:sz w:val="24"/>
          <w:szCs w:val="24"/>
        </w:rPr>
      </w:pPr>
      <w:r w:rsidRPr="00AD2999">
        <w:rPr>
          <w:rFonts w:cstheme="minorHAnsi"/>
          <w:sz w:val="24"/>
          <w:szCs w:val="24"/>
        </w:rPr>
        <w:t xml:space="preserve">Our work - </w:t>
      </w:r>
      <w:hyperlink r:id="rId15" w:history="1">
        <w:r w:rsidRPr="00AD2999">
          <w:rPr>
            <w:rStyle w:val="Hyperlink"/>
            <w:rFonts w:cstheme="minorHAnsi"/>
            <w:sz w:val="24"/>
            <w:szCs w:val="24"/>
          </w:rPr>
          <w:t>Our work — NIHR Applied Research Collaboration Oxford and Thames Valley</w:t>
        </w:r>
      </w:hyperlink>
    </w:p>
    <w:p w14:paraId="3C9DC9E1" w14:textId="77777777" w:rsidR="003E6011" w:rsidRPr="00AD2999" w:rsidRDefault="003E6011" w:rsidP="004213A2">
      <w:pPr>
        <w:pStyle w:val="ListParagraph"/>
        <w:numPr>
          <w:ilvl w:val="0"/>
          <w:numId w:val="5"/>
        </w:numPr>
        <w:spacing w:line="259" w:lineRule="auto"/>
        <w:rPr>
          <w:rFonts w:cstheme="minorHAnsi"/>
          <w:sz w:val="24"/>
          <w:szCs w:val="24"/>
        </w:rPr>
      </w:pPr>
      <w:r w:rsidRPr="00AD2999">
        <w:rPr>
          <w:rFonts w:cstheme="minorHAnsi"/>
          <w:sz w:val="24"/>
          <w:szCs w:val="24"/>
        </w:rPr>
        <w:t xml:space="preserve">PPI Pages - </w:t>
      </w:r>
      <w:hyperlink r:id="rId16" w:history="1">
        <w:r w:rsidRPr="00AD2999">
          <w:rPr>
            <w:rStyle w:val="Hyperlink"/>
            <w:rFonts w:cstheme="minorHAnsi"/>
            <w:sz w:val="24"/>
            <w:szCs w:val="24"/>
          </w:rPr>
          <w:t>For the public — NIHR Applied Research Collaboration Oxford and Thames Valley</w:t>
        </w:r>
      </w:hyperlink>
    </w:p>
    <w:p w14:paraId="0C568665" w14:textId="77777777" w:rsidR="003E6011" w:rsidRPr="00AD2999" w:rsidRDefault="003E6011" w:rsidP="004213A2">
      <w:pPr>
        <w:pStyle w:val="ListParagraph"/>
        <w:numPr>
          <w:ilvl w:val="0"/>
          <w:numId w:val="5"/>
        </w:numPr>
        <w:spacing w:line="259" w:lineRule="auto"/>
        <w:rPr>
          <w:rFonts w:cstheme="minorHAnsi"/>
          <w:sz w:val="24"/>
          <w:szCs w:val="24"/>
        </w:rPr>
      </w:pPr>
      <w:r w:rsidRPr="00AD2999">
        <w:rPr>
          <w:rFonts w:cstheme="minorHAnsi"/>
          <w:sz w:val="24"/>
          <w:szCs w:val="24"/>
        </w:rPr>
        <w:t>Our governance (share PPI in governance diagram)</w:t>
      </w:r>
    </w:p>
    <w:p w14:paraId="6E6E995F" w14:textId="77777777" w:rsidR="003E6011" w:rsidRPr="00AD2999" w:rsidRDefault="003E6011" w:rsidP="004213A2">
      <w:pPr>
        <w:pStyle w:val="ListParagraph"/>
        <w:numPr>
          <w:ilvl w:val="0"/>
          <w:numId w:val="5"/>
        </w:numPr>
        <w:spacing w:line="259" w:lineRule="auto"/>
        <w:rPr>
          <w:rFonts w:cstheme="minorHAnsi"/>
          <w:sz w:val="24"/>
          <w:szCs w:val="24"/>
        </w:rPr>
      </w:pPr>
      <w:r w:rsidRPr="00AD2999">
        <w:rPr>
          <w:rFonts w:cstheme="minorHAnsi"/>
          <w:sz w:val="24"/>
          <w:szCs w:val="24"/>
        </w:rPr>
        <w:t>PPI Champions Group:</w:t>
      </w:r>
    </w:p>
    <w:p w14:paraId="23FEB2B2" w14:textId="77777777" w:rsidR="003E6011" w:rsidRPr="00AD2999" w:rsidRDefault="003E6011" w:rsidP="004213A2">
      <w:pPr>
        <w:pStyle w:val="ListParagraph"/>
        <w:numPr>
          <w:ilvl w:val="1"/>
          <w:numId w:val="5"/>
        </w:numPr>
        <w:spacing w:line="259" w:lineRule="auto"/>
        <w:rPr>
          <w:rFonts w:cstheme="minorHAnsi"/>
          <w:sz w:val="24"/>
          <w:szCs w:val="24"/>
        </w:rPr>
      </w:pPr>
      <w:r w:rsidRPr="00AD2999">
        <w:rPr>
          <w:rFonts w:cstheme="minorHAnsi"/>
          <w:sz w:val="24"/>
          <w:szCs w:val="24"/>
        </w:rPr>
        <w:t>Meets every other month – usually 6 times per year.</w:t>
      </w:r>
    </w:p>
    <w:p w14:paraId="7D1A20C4" w14:textId="24011F30" w:rsidR="003E6011" w:rsidRPr="00AD2999" w:rsidRDefault="003E6011" w:rsidP="081B470D">
      <w:pPr>
        <w:pStyle w:val="ListParagraph"/>
        <w:numPr>
          <w:ilvl w:val="1"/>
          <w:numId w:val="5"/>
        </w:numPr>
        <w:spacing w:line="259" w:lineRule="auto"/>
        <w:rPr>
          <w:sz w:val="24"/>
          <w:szCs w:val="24"/>
        </w:rPr>
      </w:pPr>
      <w:r w:rsidRPr="0FCC21A3">
        <w:rPr>
          <w:sz w:val="24"/>
          <w:szCs w:val="24"/>
        </w:rPr>
        <w:t xml:space="preserve">Meets virtually with 1 or 2 in person meetings a year (with team building as required) - our </w:t>
      </w:r>
      <w:r w:rsidR="5FDACD85" w:rsidRPr="0FCC21A3">
        <w:rPr>
          <w:sz w:val="24"/>
          <w:szCs w:val="24"/>
        </w:rPr>
        <w:t>‘</w:t>
      </w:r>
      <w:r w:rsidRPr="0FCC21A3">
        <w:rPr>
          <w:sz w:val="24"/>
          <w:szCs w:val="24"/>
        </w:rPr>
        <w:t>Ways of working</w:t>
      </w:r>
      <w:r w:rsidR="278549ED" w:rsidRPr="0FCC21A3">
        <w:rPr>
          <w:sz w:val="24"/>
          <w:szCs w:val="24"/>
        </w:rPr>
        <w:t>’</w:t>
      </w:r>
      <w:r w:rsidRPr="0FCC21A3">
        <w:rPr>
          <w:sz w:val="24"/>
          <w:szCs w:val="24"/>
        </w:rPr>
        <w:t xml:space="preserve"> document explores the different ways we work together.</w:t>
      </w:r>
    </w:p>
    <w:p w14:paraId="6E67F1B1" w14:textId="77777777" w:rsidR="003E6011" w:rsidRPr="00A56217" w:rsidRDefault="003E6011" w:rsidP="0D121F6F">
      <w:pPr>
        <w:pStyle w:val="ListParagraph"/>
        <w:numPr>
          <w:ilvl w:val="1"/>
          <w:numId w:val="5"/>
        </w:numPr>
        <w:spacing w:line="259" w:lineRule="auto"/>
        <w:rPr>
          <w:sz w:val="24"/>
          <w:szCs w:val="24"/>
        </w:rPr>
      </w:pPr>
      <w:r w:rsidRPr="081B470D">
        <w:rPr>
          <w:sz w:val="24"/>
          <w:szCs w:val="24"/>
        </w:rPr>
        <w:t>We are guided by our: Terms of Reference; ground rules for meetings and conflicts of interest guidance. Along with other documents these outline the expectations and boundaries for Governance roles within the ARC.</w:t>
      </w:r>
    </w:p>
    <w:p w14:paraId="24B0021F" w14:textId="02AA8363" w:rsidR="003E6011" w:rsidRPr="00AD2999" w:rsidRDefault="003E6011" w:rsidP="07210253">
      <w:pPr>
        <w:pStyle w:val="ListParagraph"/>
        <w:numPr>
          <w:ilvl w:val="1"/>
          <w:numId w:val="5"/>
        </w:numPr>
        <w:spacing w:line="259" w:lineRule="auto"/>
        <w:rPr>
          <w:sz w:val="24"/>
          <w:szCs w:val="24"/>
        </w:rPr>
      </w:pPr>
      <w:r w:rsidRPr="07210253">
        <w:rPr>
          <w:sz w:val="24"/>
          <w:szCs w:val="24"/>
        </w:rPr>
        <w:t xml:space="preserve">Set up working groups/task and finish groups to take forward pieces of work </w:t>
      </w:r>
      <w:r w:rsidR="30CDC968" w:rsidRPr="07210253">
        <w:rPr>
          <w:sz w:val="24"/>
          <w:szCs w:val="24"/>
        </w:rPr>
        <w:t>e.g.</w:t>
      </w:r>
      <w:r w:rsidRPr="07210253">
        <w:rPr>
          <w:sz w:val="24"/>
          <w:szCs w:val="24"/>
        </w:rPr>
        <w:t xml:space="preserve"> recruitment materials. There is a process for deciding who gets involved with what projects.</w:t>
      </w:r>
    </w:p>
    <w:p w14:paraId="0F4E2B9E" w14:textId="77777777" w:rsidR="003E6011" w:rsidRPr="00AD2999" w:rsidRDefault="003E6011" w:rsidP="004213A2">
      <w:pPr>
        <w:pStyle w:val="ListParagraph"/>
        <w:numPr>
          <w:ilvl w:val="1"/>
          <w:numId w:val="5"/>
        </w:numPr>
        <w:spacing w:line="259" w:lineRule="auto"/>
        <w:rPr>
          <w:rFonts w:cstheme="minorHAnsi"/>
          <w:sz w:val="24"/>
          <w:szCs w:val="24"/>
        </w:rPr>
      </w:pPr>
      <w:r w:rsidRPr="00AD2999">
        <w:rPr>
          <w:rFonts w:cstheme="minorHAnsi"/>
          <w:sz w:val="24"/>
          <w:szCs w:val="24"/>
        </w:rPr>
        <w:t>The group is chaired by a public member, as per our Chairing procedures document.</w:t>
      </w:r>
    </w:p>
    <w:p w14:paraId="44EC0365" w14:textId="77777777" w:rsidR="003E6011" w:rsidRPr="00AD2999" w:rsidRDefault="003E6011" w:rsidP="0FCC21A3">
      <w:pPr>
        <w:pStyle w:val="ListParagraph"/>
        <w:numPr>
          <w:ilvl w:val="0"/>
          <w:numId w:val="5"/>
        </w:numPr>
        <w:spacing w:line="259" w:lineRule="auto"/>
        <w:rPr>
          <w:sz w:val="24"/>
          <w:szCs w:val="24"/>
        </w:rPr>
      </w:pPr>
      <w:r w:rsidRPr="0FCC21A3">
        <w:rPr>
          <w:sz w:val="24"/>
          <w:szCs w:val="24"/>
        </w:rPr>
        <w:t>Theme PPI Champions – brief introduction to each theme (use web link) and ask if any special interest but no pressure to choose at this point.</w:t>
      </w:r>
    </w:p>
    <w:p w14:paraId="2D4B1FF8" w14:textId="77777777" w:rsidR="003E6011" w:rsidRPr="00AD2999" w:rsidRDefault="003E6011" w:rsidP="0FCC21A3">
      <w:pPr>
        <w:pStyle w:val="ListParagraph"/>
        <w:numPr>
          <w:ilvl w:val="0"/>
          <w:numId w:val="5"/>
        </w:numPr>
        <w:spacing w:line="259" w:lineRule="auto"/>
        <w:rPr>
          <w:sz w:val="24"/>
          <w:szCs w:val="24"/>
        </w:rPr>
      </w:pPr>
      <w:r w:rsidRPr="0FCC21A3">
        <w:rPr>
          <w:sz w:val="24"/>
          <w:szCs w:val="24"/>
        </w:rPr>
        <w:t>Payment process (share key points from document) key points:</w:t>
      </w:r>
    </w:p>
    <w:p w14:paraId="3616449C" w14:textId="77777777" w:rsidR="003E6011" w:rsidRPr="00AD2999" w:rsidRDefault="003E6011" w:rsidP="0FCC21A3">
      <w:pPr>
        <w:pStyle w:val="ListParagraph"/>
        <w:numPr>
          <w:ilvl w:val="1"/>
          <w:numId w:val="5"/>
        </w:numPr>
        <w:spacing w:line="259" w:lineRule="auto"/>
        <w:rPr>
          <w:sz w:val="24"/>
          <w:szCs w:val="24"/>
        </w:rPr>
      </w:pPr>
      <w:r w:rsidRPr="0FCC21A3">
        <w:rPr>
          <w:sz w:val="24"/>
          <w:szCs w:val="24"/>
        </w:rPr>
        <w:t>You should always be advised when there is/isn’t a payment offered – in principle if we would like you to do something/attend something we will pay you. For ‘something of interest’ we do not pay for time (there are occasions where we may pay for expenses/joining fees)</w:t>
      </w:r>
    </w:p>
    <w:p w14:paraId="0F52F482" w14:textId="77777777" w:rsidR="003E6011" w:rsidRPr="00AD2999" w:rsidRDefault="003E6011" w:rsidP="0FCC21A3">
      <w:pPr>
        <w:pStyle w:val="ListParagraph"/>
        <w:numPr>
          <w:ilvl w:val="1"/>
          <w:numId w:val="5"/>
        </w:numPr>
        <w:spacing w:line="259" w:lineRule="auto"/>
        <w:rPr>
          <w:sz w:val="24"/>
          <w:szCs w:val="24"/>
        </w:rPr>
      </w:pPr>
      <w:r w:rsidRPr="0FCC21A3">
        <w:rPr>
          <w:sz w:val="24"/>
          <w:szCs w:val="24"/>
        </w:rPr>
        <w:t>Use NIHR rates - £150/day, £75/half day and £25/hr; occasionally we may offer a lower rate for attendance at some events.</w:t>
      </w:r>
    </w:p>
    <w:p w14:paraId="7C7ADEEA" w14:textId="77777777" w:rsidR="003E6011" w:rsidRPr="00AD2999" w:rsidRDefault="003E6011" w:rsidP="0FCC21A3">
      <w:pPr>
        <w:pStyle w:val="ListParagraph"/>
        <w:numPr>
          <w:ilvl w:val="1"/>
          <w:numId w:val="5"/>
        </w:numPr>
        <w:spacing w:line="259" w:lineRule="auto"/>
        <w:rPr>
          <w:sz w:val="24"/>
          <w:szCs w:val="24"/>
        </w:rPr>
      </w:pPr>
      <w:r w:rsidRPr="0FCC21A3">
        <w:rPr>
          <w:sz w:val="24"/>
          <w:szCs w:val="24"/>
        </w:rPr>
        <w:t>Out of pocket expenses covered – travel/parking (within Oxford – onsite parking); carers costs etc – discuss any public travel/accommodation needs and we will book etc</w:t>
      </w:r>
    </w:p>
    <w:p w14:paraId="10C69FFC" w14:textId="77777777" w:rsidR="003E6011" w:rsidRPr="00AD2999" w:rsidRDefault="003E6011" w:rsidP="0FCC21A3">
      <w:pPr>
        <w:pStyle w:val="ListParagraph"/>
        <w:numPr>
          <w:ilvl w:val="1"/>
          <w:numId w:val="5"/>
        </w:numPr>
        <w:spacing w:line="259" w:lineRule="auto"/>
        <w:rPr>
          <w:sz w:val="24"/>
          <w:szCs w:val="24"/>
        </w:rPr>
      </w:pPr>
      <w:r w:rsidRPr="0FCC21A3">
        <w:rPr>
          <w:sz w:val="24"/>
          <w:szCs w:val="24"/>
        </w:rPr>
        <w:t>Not through payroll</w:t>
      </w:r>
    </w:p>
    <w:p w14:paraId="2EF44C75" w14:textId="77777777" w:rsidR="003E6011" w:rsidRDefault="003E6011" w:rsidP="0D121F6F">
      <w:pPr>
        <w:pStyle w:val="ListParagraph"/>
        <w:numPr>
          <w:ilvl w:val="0"/>
          <w:numId w:val="5"/>
        </w:numPr>
        <w:spacing w:line="259" w:lineRule="auto"/>
        <w:rPr>
          <w:sz w:val="24"/>
          <w:szCs w:val="24"/>
        </w:rPr>
      </w:pPr>
      <w:r w:rsidRPr="0D121F6F">
        <w:rPr>
          <w:sz w:val="24"/>
          <w:szCs w:val="24"/>
        </w:rPr>
        <w:t>Invite them to observe a meeting - can contribute if want to but no expectation.</w:t>
      </w:r>
    </w:p>
    <w:p w14:paraId="6D25EA09" w14:textId="27409A9B" w:rsidR="003E6011" w:rsidRPr="00DA51E1" w:rsidRDefault="003E6011" w:rsidP="7A7450D5">
      <w:pPr>
        <w:pStyle w:val="ListParagraph"/>
        <w:numPr>
          <w:ilvl w:val="0"/>
          <w:numId w:val="5"/>
        </w:numPr>
        <w:spacing w:line="259" w:lineRule="auto"/>
        <w:rPr>
          <w:sz w:val="24"/>
          <w:szCs w:val="24"/>
        </w:rPr>
      </w:pPr>
      <w:r w:rsidRPr="7A7450D5">
        <w:rPr>
          <w:sz w:val="24"/>
          <w:szCs w:val="24"/>
        </w:rPr>
        <w:t xml:space="preserve">As a part of this process include a message that it is perfectly normal to feel overwhelmed by all the new and often complex information and that we will revisit it on </w:t>
      </w:r>
      <w:r w:rsidR="300F2EB2" w:rsidRPr="7A7450D5">
        <w:rPr>
          <w:sz w:val="24"/>
          <w:szCs w:val="24"/>
        </w:rPr>
        <w:t>several</w:t>
      </w:r>
      <w:r w:rsidRPr="7A7450D5">
        <w:rPr>
          <w:sz w:val="24"/>
          <w:szCs w:val="24"/>
        </w:rPr>
        <w:t xml:space="preserve"> occasions.</w:t>
      </w:r>
    </w:p>
    <w:p w14:paraId="62904AB0" w14:textId="77777777" w:rsidR="003E6011" w:rsidRPr="00AD2999" w:rsidRDefault="003E6011" w:rsidP="0FCC21A3">
      <w:pPr>
        <w:rPr>
          <w:b/>
          <w:bCs/>
          <w:i/>
          <w:iCs/>
          <w:sz w:val="24"/>
          <w:szCs w:val="24"/>
        </w:rPr>
      </w:pPr>
      <w:r w:rsidRPr="0FCC21A3">
        <w:rPr>
          <w:b/>
          <w:bCs/>
          <w:i/>
          <w:iCs/>
          <w:sz w:val="24"/>
          <w:szCs w:val="24"/>
        </w:rPr>
        <w:lastRenderedPageBreak/>
        <w:t>Within 2/3 weeks of the induction meeting: send a follow up with a recap email covering the information from the meeting:</w:t>
      </w:r>
    </w:p>
    <w:p w14:paraId="548E1FAC" w14:textId="77777777" w:rsidR="003E6011" w:rsidRPr="00AD2999" w:rsidRDefault="003E6011" w:rsidP="0D121F6F">
      <w:pPr>
        <w:pStyle w:val="ListParagraph"/>
        <w:numPr>
          <w:ilvl w:val="0"/>
          <w:numId w:val="6"/>
        </w:numPr>
        <w:spacing w:line="259" w:lineRule="auto"/>
        <w:rPr>
          <w:sz w:val="24"/>
          <w:szCs w:val="24"/>
        </w:rPr>
      </w:pPr>
      <w:r w:rsidRPr="0D121F6F">
        <w:rPr>
          <w:sz w:val="24"/>
          <w:szCs w:val="24"/>
        </w:rPr>
        <w:t>Review discussion points and re-provide links to webpages discussed.  Share relevant documents and links for: payment policy; governance diagram; Terms of Reference, ground rules for meetings etc.</w:t>
      </w:r>
    </w:p>
    <w:p w14:paraId="6B61EC3D" w14:textId="77777777" w:rsidR="003E6011" w:rsidRPr="00AD2999" w:rsidRDefault="003E6011" w:rsidP="004213A2">
      <w:pPr>
        <w:pStyle w:val="ListParagraph"/>
        <w:numPr>
          <w:ilvl w:val="0"/>
          <w:numId w:val="6"/>
        </w:numPr>
        <w:spacing w:line="259" w:lineRule="auto"/>
        <w:rPr>
          <w:rFonts w:cstheme="minorHAnsi"/>
          <w:sz w:val="24"/>
          <w:szCs w:val="24"/>
        </w:rPr>
      </w:pPr>
      <w:r w:rsidRPr="00AD2999">
        <w:rPr>
          <w:rFonts w:cstheme="minorHAnsi"/>
          <w:sz w:val="24"/>
          <w:szCs w:val="24"/>
        </w:rPr>
        <w:t xml:space="preserve">Also include links to relevant opportunity outlets/newsletters: </w:t>
      </w:r>
    </w:p>
    <w:p w14:paraId="26B0C970" w14:textId="77777777" w:rsidR="003E6011" w:rsidRPr="00AD2999" w:rsidRDefault="003E6011" w:rsidP="004213A2">
      <w:pPr>
        <w:pStyle w:val="ListParagraph"/>
        <w:numPr>
          <w:ilvl w:val="1"/>
          <w:numId w:val="6"/>
        </w:numPr>
        <w:spacing w:line="259" w:lineRule="auto"/>
        <w:rPr>
          <w:rFonts w:cstheme="minorHAnsi"/>
          <w:sz w:val="24"/>
          <w:szCs w:val="24"/>
        </w:rPr>
      </w:pPr>
      <w:r w:rsidRPr="00AD2999">
        <w:rPr>
          <w:rFonts w:cstheme="minorHAnsi"/>
          <w:sz w:val="24"/>
          <w:szCs w:val="24"/>
        </w:rPr>
        <w:t xml:space="preserve">Nuffield Department of Primary Care PPI List - </w:t>
      </w:r>
      <w:hyperlink r:id="rId17" w:history="1">
        <w:r w:rsidRPr="00AD2999">
          <w:rPr>
            <w:rStyle w:val="Hyperlink"/>
            <w:rFonts w:cstheme="minorHAnsi"/>
            <w:sz w:val="24"/>
            <w:szCs w:val="24"/>
          </w:rPr>
          <w:t>Getting involved as a public contributor — Nuffield Department of Primary Care Health Sciences, University of Oxford</w:t>
        </w:r>
      </w:hyperlink>
    </w:p>
    <w:p w14:paraId="672C891B" w14:textId="77777777" w:rsidR="003E6011" w:rsidRPr="00AD2999" w:rsidRDefault="003E6011" w:rsidP="004213A2">
      <w:pPr>
        <w:pStyle w:val="ListParagraph"/>
        <w:numPr>
          <w:ilvl w:val="1"/>
          <w:numId w:val="6"/>
        </w:numPr>
        <w:spacing w:line="259" w:lineRule="auto"/>
        <w:rPr>
          <w:rFonts w:cstheme="minorHAnsi"/>
          <w:sz w:val="24"/>
          <w:szCs w:val="24"/>
        </w:rPr>
      </w:pPr>
      <w:r w:rsidRPr="00AD2999">
        <w:rPr>
          <w:rFonts w:cstheme="minorHAnsi"/>
          <w:sz w:val="24"/>
          <w:szCs w:val="24"/>
        </w:rPr>
        <w:t xml:space="preserve">BRC PPI Opportunities - </w:t>
      </w:r>
      <w:hyperlink r:id="rId18" w:history="1">
        <w:r w:rsidRPr="00AD2999">
          <w:rPr>
            <w:rStyle w:val="Hyperlink"/>
            <w:rFonts w:cstheme="minorHAnsi"/>
            <w:sz w:val="24"/>
            <w:szCs w:val="24"/>
          </w:rPr>
          <w:t>PPI | NIHR Oxford Biomedical Research Centre</w:t>
        </w:r>
      </w:hyperlink>
    </w:p>
    <w:p w14:paraId="3294AC39" w14:textId="77777777" w:rsidR="003E6011" w:rsidRPr="00AD2999" w:rsidRDefault="003E6011" w:rsidP="004213A2">
      <w:pPr>
        <w:pStyle w:val="ListParagraph"/>
        <w:numPr>
          <w:ilvl w:val="1"/>
          <w:numId w:val="6"/>
        </w:numPr>
        <w:spacing w:line="259" w:lineRule="auto"/>
        <w:rPr>
          <w:rFonts w:cstheme="minorHAnsi"/>
          <w:sz w:val="24"/>
          <w:szCs w:val="24"/>
        </w:rPr>
      </w:pPr>
      <w:r w:rsidRPr="00AD2999">
        <w:rPr>
          <w:rFonts w:cstheme="minorHAnsi"/>
          <w:sz w:val="24"/>
          <w:szCs w:val="24"/>
        </w:rPr>
        <w:t xml:space="preserve">WT Newsletter - </w:t>
      </w:r>
      <w:hyperlink r:id="rId19" w:history="1">
        <w:r w:rsidRPr="00AD2999">
          <w:rPr>
            <w:rStyle w:val="Hyperlink"/>
            <w:rFonts w:cstheme="minorHAnsi"/>
            <w:sz w:val="24"/>
            <w:szCs w:val="24"/>
          </w:rPr>
          <w:t>Working Together Partnership - Health Innovation Oxford &amp; Thames Valley</w:t>
        </w:r>
      </w:hyperlink>
    </w:p>
    <w:p w14:paraId="0C9FD144" w14:textId="77777777" w:rsidR="003E6011" w:rsidRPr="00AD2999" w:rsidRDefault="003E6011" w:rsidP="004213A2">
      <w:pPr>
        <w:pStyle w:val="ListParagraph"/>
        <w:numPr>
          <w:ilvl w:val="1"/>
          <w:numId w:val="6"/>
        </w:numPr>
        <w:spacing w:line="259" w:lineRule="auto"/>
        <w:rPr>
          <w:rFonts w:cstheme="minorHAnsi"/>
          <w:sz w:val="24"/>
          <w:szCs w:val="24"/>
        </w:rPr>
      </w:pPr>
      <w:r w:rsidRPr="00AD2999">
        <w:rPr>
          <w:rFonts w:cstheme="minorHAnsi"/>
          <w:sz w:val="24"/>
          <w:szCs w:val="24"/>
        </w:rPr>
        <w:t xml:space="preserve">People in Research - </w:t>
      </w:r>
      <w:hyperlink r:id="rId20" w:history="1">
        <w:r w:rsidRPr="00AD2999">
          <w:rPr>
            <w:rStyle w:val="Hyperlink"/>
            <w:rFonts w:cstheme="minorHAnsi"/>
            <w:sz w:val="24"/>
            <w:szCs w:val="24"/>
          </w:rPr>
          <w:t>Home - People in Research</w:t>
        </w:r>
      </w:hyperlink>
    </w:p>
    <w:p w14:paraId="6A2BC6E9" w14:textId="77777777" w:rsidR="003E6011" w:rsidRPr="00AD2999" w:rsidRDefault="003E6011" w:rsidP="004213A2">
      <w:pPr>
        <w:pStyle w:val="ListParagraph"/>
        <w:numPr>
          <w:ilvl w:val="1"/>
          <w:numId w:val="6"/>
        </w:numPr>
        <w:spacing w:line="259" w:lineRule="auto"/>
        <w:rPr>
          <w:rFonts w:cstheme="minorHAnsi"/>
          <w:sz w:val="24"/>
          <w:szCs w:val="24"/>
        </w:rPr>
      </w:pPr>
      <w:r w:rsidRPr="00AD2999">
        <w:rPr>
          <w:rFonts w:cstheme="minorHAnsi"/>
          <w:sz w:val="24"/>
          <w:szCs w:val="24"/>
        </w:rPr>
        <w:t xml:space="preserve">Be Part of Research - </w:t>
      </w:r>
      <w:hyperlink r:id="rId21" w:history="1">
        <w:r w:rsidRPr="00AD2999">
          <w:rPr>
            <w:rStyle w:val="Hyperlink"/>
            <w:rFonts w:cstheme="minorHAnsi"/>
            <w:sz w:val="24"/>
            <w:szCs w:val="24"/>
          </w:rPr>
          <w:t>Be Part Of Research (nihr.ac.uk)</w:t>
        </w:r>
      </w:hyperlink>
    </w:p>
    <w:p w14:paraId="2C7AD51A" w14:textId="77777777" w:rsidR="003E6011" w:rsidRPr="00AD2999" w:rsidRDefault="003E6011" w:rsidP="003E6011">
      <w:pPr>
        <w:rPr>
          <w:rFonts w:cstheme="minorHAnsi"/>
          <w:b/>
          <w:i/>
          <w:sz w:val="24"/>
          <w:szCs w:val="24"/>
        </w:rPr>
      </w:pPr>
      <w:r w:rsidRPr="00AD2999">
        <w:rPr>
          <w:rFonts w:cstheme="minorHAnsi"/>
          <w:b/>
          <w:i/>
          <w:sz w:val="24"/>
          <w:szCs w:val="24"/>
        </w:rPr>
        <w:t>Within first 3 months</w:t>
      </w:r>
      <w:r>
        <w:rPr>
          <w:rFonts w:cstheme="minorHAnsi"/>
          <w:b/>
          <w:i/>
          <w:sz w:val="24"/>
          <w:szCs w:val="24"/>
        </w:rPr>
        <w:t xml:space="preserve"> (where possible)</w:t>
      </w:r>
      <w:r w:rsidRPr="00AD2999">
        <w:rPr>
          <w:rFonts w:cstheme="minorHAnsi"/>
          <w:b/>
          <w:i/>
          <w:sz w:val="24"/>
          <w:szCs w:val="24"/>
        </w:rPr>
        <w:t>: Observation meeting</w:t>
      </w:r>
      <w:r>
        <w:rPr>
          <w:rFonts w:cstheme="minorHAnsi"/>
          <w:b/>
          <w:i/>
          <w:sz w:val="24"/>
          <w:szCs w:val="24"/>
        </w:rPr>
        <w:t>:</w:t>
      </w:r>
    </w:p>
    <w:p w14:paraId="7F4E14F7" w14:textId="77777777" w:rsidR="003E6011" w:rsidRPr="00AD2999" w:rsidRDefault="003E6011" w:rsidP="004213A2">
      <w:pPr>
        <w:pStyle w:val="ListParagraph"/>
        <w:numPr>
          <w:ilvl w:val="0"/>
          <w:numId w:val="7"/>
        </w:numPr>
        <w:spacing w:line="259" w:lineRule="auto"/>
        <w:rPr>
          <w:rFonts w:cstheme="minorHAnsi"/>
          <w:sz w:val="24"/>
          <w:szCs w:val="24"/>
        </w:rPr>
      </w:pPr>
      <w:r w:rsidRPr="00AD2999">
        <w:rPr>
          <w:rFonts w:cstheme="minorHAnsi"/>
          <w:sz w:val="24"/>
          <w:szCs w:val="24"/>
        </w:rPr>
        <w:t>Forward all papers sent to the PPI Champions group</w:t>
      </w:r>
    </w:p>
    <w:p w14:paraId="718755B8" w14:textId="77777777" w:rsidR="003E6011" w:rsidRDefault="003E6011" w:rsidP="004213A2">
      <w:pPr>
        <w:pStyle w:val="ListParagraph"/>
        <w:numPr>
          <w:ilvl w:val="0"/>
          <w:numId w:val="7"/>
        </w:numPr>
        <w:spacing w:line="259" w:lineRule="auto"/>
        <w:rPr>
          <w:rFonts w:cstheme="minorHAnsi"/>
          <w:sz w:val="24"/>
          <w:szCs w:val="24"/>
        </w:rPr>
      </w:pPr>
      <w:r w:rsidRPr="00AD2999">
        <w:rPr>
          <w:rFonts w:cstheme="minorHAnsi"/>
          <w:sz w:val="24"/>
          <w:szCs w:val="24"/>
        </w:rPr>
        <w:t>Reiterate they can contribute if they want to</w:t>
      </w:r>
      <w:r>
        <w:rPr>
          <w:rFonts w:cstheme="minorHAnsi"/>
          <w:sz w:val="24"/>
          <w:szCs w:val="24"/>
        </w:rPr>
        <w:t>,</w:t>
      </w:r>
      <w:r w:rsidRPr="00AD2999">
        <w:rPr>
          <w:rFonts w:cstheme="minorHAnsi"/>
          <w:sz w:val="24"/>
          <w:szCs w:val="24"/>
        </w:rPr>
        <w:t xml:space="preserve"> but no expectation</w:t>
      </w:r>
    </w:p>
    <w:p w14:paraId="6FF055C6" w14:textId="77777777" w:rsidR="003E6011" w:rsidRDefault="003E6011" w:rsidP="004213A2">
      <w:pPr>
        <w:pStyle w:val="ListParagraph"/>
        <w:numPr>
          <w:ilvl w:val="0"/>
          <w:numId w:val="7"/>
        </w:numPr>
        <w:spacing w:line="259" w:lineRule="auto"/>
        <w:rPr>
          <w:rFonts w:cstheme="minorHAnsi"/>
          <w:sz w:val="24"/>
          <w:szCs w:val="24"/>
        </w:rPr>
      </w:pPr>
      <w:r>
        <w:rPr>
          <w:rFonts w:cstheme="minorHAnsi"/>
          <w:sz w:val="24"/>
          <w:szCs w:val="24"/>
        </w:rPr>
        <w:t xml:space="preserve">For </w:t>
      </w:r>
      <w:r w:rsidRPr="00B06C09">
        <w:rPr>
          <w:rFonts w:cstheme="minorHAnsi"/>
          <w:b/>
          <w:sz w:val="24"/>
          <w:szCs w:val="24"/>
        </w:rPr>
        <w:t>Strategy Board Public Partners</w:t>
      </w:r>
      <w:r>
        <w:rPr>
          <w:rFonts w:cstheme="minorHAnsi"/>
          <w:sz w:val="24"/>
          <w:szCs w:val="24"/>
        </w:rPr>
        <w:t xml:space="preserve"> there will also be an opportunity to observe a Strategy Board Meeting.</w:t>
      </w:r>
    </w:p>
    <w:p w14:paraId="7217765A" w14:textId="77777777" w:rsidR="003E6011" w:rsidRPr="00B06C09" w:rsidRDefault="003E6011" w:rsidP="004213A2">
      <w:pPr>
        <w:pStyle w:val="ListParagraph"/>
        <w:numPr>
          <w:ilvl w:val="0"/>
          <w:numId w:val="7"/>
        </w:numPr>
        <w:spacing w:line="259" w:lineRule="auto"/>
        <w:rPr>
          <w:rFonts w:cstheme="minorHAnsi"/>
          <w:sz w:val="24"/>
          <w:szCs w:val="24"/>
        </w:rPr>
      </w:pPr>
      <w:r>
        <w:rPr>
          <w:rFonts w:cstheme="minorHAnsi"/>
          <w:sz w:val="24"/>
          <w:szCs w:val="24"/>
        </w:rPr>
        <w:t xml:space="preserve">For </w:t>
      </w:r>
      <w:r w:rsidRPr="00B06C09">
        <w:rPr>
          <w:rFonts w:cstheme="minorHAnsi"/>
          <w:b/>
          <w:sz w:val="24"/>
          <w:szCs w:val="24"/>
        </w:rPr>
        <w:t>Theme Champions</w:t>
      </w:r>
      <w:r>
        <w:rPr>
          <w:rFonts w:cstheme="minorHAnsi"/>
          <w:sz w:val="24"/>
          <w:szCs w:val="24"/>
        </w:rPr>
        <w:t xml:space="preserve"> there will also be an opportunity to observe a Theme Meeting (the process following on from this will vary depending on whether the person has already been inducted).</w:t>
      </w:r>
    </w:p>
    <w:p w14:paraId="09244A6B" w14:textId="77777777" w:rsidR="003E6011" w:rsidRPr="00AD2999" w:rsidRDefault="003E6011" w:rsidP="0FCC21A3">
      <w:pPr>
        <w:rPr>
          <w:b/>
          <w:bCs/>
          <w:i/>
          <w:iCs/>
          <w:sz w:val="24"/>
          <w:szCs w:val="24"/>
        </w:rPr>
      </w:pPr>
      <w:r w:rsidRPr="0FCC21A3">
        <w:rPr>
          <w:b/>
          <w:bCs/>
          <w:i/>
          <w:iCs/>
          <w:sz w:val="24"/>
          <w:szCs w:val="24"/>
        </w:rPr>
        <w:t>Within 2/3 weeks of observation: Email follow up to cover:</w:t>
      </w:r>
    </w:p>
    <w:p w14:paraId="504797C1" w14:textId="77777777" w:rsidR="003E6011" w:rsidRPr="00AD2999" w:rsidRDefault="003E6011" w:rsidP="0D121F6F">
      <w:pPr>
        <w:pStyle w:val="ListParagraph"/>
        <w:numPr>
          <w:ilvl w:val="0"/>
          <w:numId w:val="8"/>
        </w:numPr>
        <w:spacing w:line="259" w:lineRule="auto"/>
        <w:rPr>
          <w:sz w:val="24"/>
          <w:szCs w:val="24"/>
        </w:rPr>
      </w:pPr>
      <w:r w:rsidRPr="0FCC21A3">
        <w:rPr>
          <w:sz w:val="24"/>
          <w:szCs w:val="24"/>
        </w:rPr>
        <w:t>Are they happy to continue, re-provide the theme options, provide details of the next meeting.</w:t>
      </w:r>
    </w:p>
    <w:p w14:paraId="65959962" w14:textId="77777777" w:rsidR="003E6011" w:rsidRPr="00AD2999" w:rsidRDefault="003E6011" w:rsidP="0D121F6F">
      <w:pPr>
        <w:pStyle w:val="ListParagraph"/>
        <w:numPr>
          <w:ilvl w:val="0"/>
          <w:numId w:val="8"/>
        </w:numPr>
        <w:spacing w:line="259" w:lineRule="auto"/>
        <w:rPr>
          <w:sz w:val="24"/>
          <w:szCs w:val="24"/>
        </w:rPr>
      </w:pPr>
      <w:r w:rsidRPr="0D121F6F">
        <w:rPr>
          <w:sz w:val="24"/>
          <w:szCs w:val="24"/>
        </w:rPr>
        <w:t>If happy to continue, can we share their email with the PPI Champions group?</w:t>
      </w:r>
    </w:p>
    <w:p w14:paraId="372A2F60" w14:textId="77777777" w:rsidR="003E6011" w:rsidRPr="00AD2999" w:rsidRDefault="003E6011" w:rsidP="0D121F6F">
      <w:pPr>
        <w:pStyle w:val="ListParagraph"/>
        <w:numPr>
          <w:ilvl w:val="0"/>
          <w:numId w:val="8"/>
        </w:numPr>
        <w:spacing w:line="259" w:lineRule="auto"/>
        <w:rPr>
          <w:sz w:val="24"/>
          <w:szCs w:val="24"/>
        </w:rPr>
      </w:pPr>
      <w:r w:rsidRPr="0D121F6F">
        <w:rPr>
          <w:sz w:val="24"/>
          <w:szCs w:val="24"/>
        </w:rPr>
        <w:t>Payment for recruitment and induction (interview, induction and observation) plus any relevant expenses</w:t>
      </w:r>
    </w:p>
    <w:p w14:paraId="6868497E" w14:textId="77777777" w:rsidR="003E6011" w:rsidRDefault="003E6011" w:rsidP="0D121F6F">
      <w:pPr>
        <w:pStyle w:val="ListParagraph"/>
        <w:numPr>
          <w:ilvl w:val="0"/>
          <w:numId w:val="8"/>
        </w:numPr>
        <w:spacing w:line="259" w:lineRule="auto"/>
        <w:rPr>
          <w:sz w:val="24"/>
          <w:szCs w:val="24"/>
        </w:rPr>
      </w:pPr>
      <w:r w:rsidRPr="0D121F6F">
        <w:rPr>
          <w:sz w:val="24"/>
          <w:szCs w:val="24"/>
        </w:rPr>
        <w:t>What next – review after next meeting/within 3 months</w:t>
      </w:r>
    </w:p>
    <w:p w14:paraId="03D85BE4" w14:textId="77777777" w:rsidR="003E6011" w:rsidRPr="00D77185" w:rsidRDefault="003E6011" w:rsidP="7A7450D5">
      <w:pPr>
        <w:pStyle w:val="ListParagraph"/>
        <w:numPr>
          <w:ilvl w:val="0"/>
          <w:numId w:val="8"/>
        </w:numPr>
        <w:spacing w:line="259" w:lineRule="auto"/>
        <w:rPr>
          <w:sz w:val="24"/>
          <w:szCs w:val="24"/>
        </w:rPr>
      </w:pPr>
      <w:r w:rsidRPr="7A7450D5">
        <w:rPr>
          <w:sz w:val="24"/>
          <w:szCs w:val="24"/>
        </w:rPr>
        <w:t>Share the ARC support and learning processes and operational information links and ask if they would like paper copies.</w:t>
      </w:r>
    </w:p>
    <w:p w14:paraId="1E49E9A2" w14:textId="77777777" w:rsidR="003E6011" w:rsidRPr="00AD2999" w:rsidRDefault="003E6011" w:rsidP="081B470D">
      <w:pPr>
        <w:rPr>
          <w:b/>
          <w:bCs/>
          <w:sz w:val="24"/>
          <w:szCs w:val="24"/>
          <w:u w:val="single"/>
        </w:rPr>
      </w:pPr>
      <w:r w:rsidRPr="081B470D">
        <w:rPr>
          <w:b/>
          <w:bCs/>
          <w:sz w:val="24"/>
          <w:szCs w:val="24"/>
          <w:u w:val="single"/>
        </w:rPr>
        <w:t>4-6 months</w:t>
      </w:r>
    </w:p>
    <w:p w14:paraId="1494C159" w14:textId="77777777" w:rsidR="003E6011" w:rsidRPr="00AD2999" w:rsidRDefault="003E6011" w:rsidP="081B470D">
      <w:pPr>
        <w:rPr>
          <w:b/>
          <w:bCs/>
          <w:i/>
          <w:iCs/>
          <w:sz w:val="24"/>
          <w:szCs w:val="24"/>
        </w:rPr>
      </w:pPr>
      <w:r w:rsidRPr="081B470D">
        <w:rPr>
          <w:b/>
          <w:bCs/>
          <w:i/>
          <w:iCs/>
          <w:sz w:val="24"/>
          <w:szCs w:val="24"/>
        </w:rPr>
        <w:t>Usually in month 4/5 (but always after observation meeting and usually after at least one full attendance/involvement at a PPI Champions meeting): 2nd 1:1 meeting:</w:t>
      </w:r>
    </w:p>
    <w:p w14:paraId="29CA307A" w14:textId="77777777" w:rsidR="003E6011" w:rsidRPr="00A56217" w:rsidRDefault="003E6011" w:rsidP="0D121F6F">
      <w:pPr>
        <w:pStyle w:val="ListParagraph"/>
        <w:numPr>
          <w:ilvl w:val="0"/>
          <w:numId w:val="9"/>
        </w:numPr>
        <w:spacing w:line="259" w:lineRule="auto"/>
        <w:rPr>
          <w:sz w:val="24"/>
          <w:szCs w:val="24"/>
        </w:rPr>
      </w:pPr>
      <w:r w:rsidRPr="0FCC21A3">
        <w:rPr>
          <w:sz w:val="24"/>
          <w:szCs w:val="24"/>
        </w:rPr>
        <w:t>The purpose of this is to find out how it is going and re-cap the information already shared.</w:t>
      </w:r>
    </w:p>
    <w:p w14:paraId="4CB27430" w14:textId="77777777" w:rsidR="003E6011" w:rsidRPr="00AD2999" w:rsidRDefault="003E6011" w:rsidP="081B470D">
      <w:pPr>
        <w:pStyle w:val="ListParagraph"/>
        <w:numPr>
          <w:ilvl w:val="0"/>
          <w:numId w:val="9"/>
        </w:numPr>
        <w:spacing w:line="259" w:lineRule="auto"/>
        <w:rPr>
          <w:sz w:val="24"/>
          <w:szCs w:val="24"/>
        </w:rPr>
      </w:pPr>
      <w:r w:rsidRPr="081B470D">
        <w:rPr>
          <w:sz w:val="24"/>
          <w:szCs w:val="24"/>
        </w:rPr>
        <w:t>Are they interested in taking on a Theme PPI Champion role (if they haven’t already) – if they are ready to start this will trigger peer support/mentor role from existing theme champion.</w:t>
      </w:r>
    </w:p>
    <w:p w14:paraId="7520344B" w14:textId="77777777" w:rsidR="003E6011" w:rsidRPr="00AD2999" w:rsidRDefault="003E6011" w:rsidP="081B470D">
      <w:pPr>
        <w:pStyle w:val="ListParagraph"/>
        <w:numPr>
          <w:ilvl w:val="0"/>
          <w:numId w:val="9"/>
        </w:numPr>
        <w:spacing w:line="259" w:lineRule="auto"/>
        <w:rPr>
          <w:sz w:val="24"/>
          <w:szCs w:val="24"/>
        </w:rPr>
      </w:pPr>
      <w:r w:rsidRPr="0FCC21A3">
        <w:rPr>
          <w:sz w:val="24"/>
          <w:szCs w:val="24"/>
        </w:rPr>
        <w:t>Find out if there is anything they would like to get out of being a PPI Champion.</w:t>
      </w:r>
    </w:p>
    <w:p w14:paraId="6F831FCC" w14:textId="77777777" w:rsidR="003E6011" w:rsidRPr="00AD2999" w:rsidRDefault="003E6011" w:rsidP="081B470D">
      <w:pPr>
        <w:pStyle w:val="ListParagraph"/>
        <w:numPr>
          <w:ilvl w:val="0"/>
          <w:numId w:val="9"/>
        </w:numPr>
        <w:spacing w:line="259" w:lineRule="auto"/>
        <w:rPr>
          <w:sz w:val="24"/>
          <w:szCs w:val="24"/>
        </w:rPr>
      </w:pPr>
      <w:r w:rsidRPr="081B470D">
        <w:rPr>
          <w:sz w:val="24"/>
          <w:szCs w:val="24"/>
        </w:rPr>
        <w:t>Have they come across any issues/concerns?</w:t>
      </w:r>
    </w:p>
    <w:p w14:paraId="1467CD5F" w14:textId="77777777" w:rsidR="003E6011" w:rsidRPr="00AD2999" w:rsidRDefault="003E6011" w:rsidP="004213A2">
      <w:pPr>
        <w:pStyle w:val="ListParagraph"/>
        <w:numPr>
          <w:ilvl w:val="0"/>
          <w:numId w:val="9"/>
        </w:numPr>
        <w:spacing w:line="259" w:lineRule="auto"/>
        <w:rPr>
          <w:rFonts w:cstheme="minorHAnsi"/>
          <w:sz w:val="24"/>
          <w:szCs w:val="24"/>
        </w:rPr>
      </w:pPr>
      <w:r w:rsidRPr="00B06C09">
        <w:rPr>
          <w:rFonts w:cstheme="minorHAnsi"/>
          <w:b/>
          <w:i/>
          <w:sz w:val="24"/>
          <w:szCs w:val="24"/>
        </w:rPr>
        <w:t>Follow up with an email if needed</w:t>
      </w:r>
      <w:r w:rsidRPr="00AD2999">
        <w:rPr>
          <w:rFonts w:cstheme="minorHAnsi"/>
          <w:sz w:val="24"/>
          <w:szCs w:val="24"/>
        </w:rPr>
        <w:t xml:space="preserve"> – when and what’s needed will depend on what is agreed.</w:t>
      </w:r>
    </w:p>
    <w:p w14:paraId="6D3E7D84" w14:textId="77777777" w:rsidR="003E6011" w:rsidRPr="00AD2999" w:rsidRDefault="003E6011" w:rsidP="003E6011">
      <w:pPr>
        <w:rPr>
          <w:rFonts w:cstheme="minorHAnsi"/>
          <w:b/>
          <w:sz w:val="24"/>
          <w:szCs w:val="24"/>
          <w:u w:val="single"/>
        </w:rPr>
      </w:pPr>
      <w:r w:rsidRPr="00AD2999">
        <w:rPr>
          <w:rFonts w:cstheme="minorHAnsi"/>
          <w:b/>
          <w:sz w:val="24"/>
          <w:szCs w:val="24"/>
          <w:u w:val="single"/>
        </w:rPr>
        <w:lastRenderedPageBreak/>
        <w:t>7-8 Months</w:t>
      </w:r>
    </w:p>
    <w:p w14:paraId="11622026" w14:textId="77777777" w:rsidR="003E6011" w:rsidRPr="00AD2999" w:rsidRDefault="003E6011" w:rsidP="0FCC21A3">
      <w:pPr>
        <w:rPr>
          <w:b/>
          <w:bCs/>
          <w:i/>
          <w:iCs/>
          <w:sz w:val="24"/>
          <w:szCs w:val="24"/>
        </w:rPr>
      </w:pPr>
      <w:r w:rsidRPr="0FCC21A3">
        <w:rPr>
          <w:b/>
          <w:bCs/>
          <w:i/>
          <w:iCs/>
          <w:sz w:val="24"/>
          <w:szCs w:val="24"/>
        </w:rPr>
        <w:t>Usually in month 7/8 (there should have been full attendance/involvement at one or more PPI Champions meetings): 3rd 1:1 meeting:</w:t>
      </w:r>
    </w:p>
    <w:p w14:paraId="7C781A8F" w14:textId="77777777" w:rsidR="003E6011" w:rsidRPr="00B453F3" w:rsidRDefault="003E6011" w:rsidP="0D121F6F">
      <w:pPr>
        <w:pStyle w:val="ListParagraph"/>
        <w:numPr>
          <w:ilvl w:val="0"/>
          <w:numId w:val="10"/>
        </w:numPr>
        <w:spacing w:line="259" w:lineRule="auto"/>
        <w:rPr>
          <w:sz w:val="24"/>
          <w:szCs w:val="24"/>
        </w:rPr>
      </w:pPr>
      <w:r w:rsidRPr="0FCC21A3">
        <w:rPr>
          <w:sz w:val="24"/>
          <w:szCs w:val="24"/>
        </w:rPr>
        <w:t>The purpose of this is to find out how it is going and re-cap the information already shared.</w:t>
      </w:r>
    </w:p>
    <w:p w14:paraId="269FC81A" w14:textId="77777777" w:rsidR="003E6011" w:rsidRPr="00AD2999" w:rsidRDefault="003E6011" w:rsidP="081B470D">
      <w:pPr>
        <w:pStyle w:val="ListParagraph"/>
        <w:numPr>
          <w:ilvl w:val="0"/>
          <w:numId w:val="10"/>
        </w:numPr>
        <w:spacing w:line="259" w:lineRule="auto"/>
        <w:rPr>
          <w:sz w:val="24"/>
          <w:szCs w:val="24"/>
        </w:rPr>
      </w:pPr>
      <w:r w:rsidRPr="081B470D">
        <w:rPr>
          <w:sz w:val="24"/>
          <w:szCs w:val="24"/>
        </w:rPr>
        <w:t>Look at level of involvement/engagement – is everyone happy?</w:t>
      </w:r>
    </w:p>
    <w:p w14:paraId="5ACC5381" w14:textId="77777777" w:rsidR="003E6011" w:rsidRPr="00AD2999" w:rsidRDefault="003E6011" w:rsidP="081B470D">
      <w:pPr>
        <w:pStyle w:val="ListParagraph"/>
        <w:numPr>
          <w:ilvl w:val="0"/>
          <w:numId w:val="10"/>
        </w:numPr>
        <w:spacing w:line="259" w:lineRule="auto"/>
        <w:rPr>
          <w:sz w:val="24"/>
          <w:szCs w:val="24"/>
        </w:rPr>
      </w:pPr>
      <w:r w:rsidRPr="0FCC21A3">
        <w:rPr>
          <w:sz w:val="24"/>
          <w:szCs w:val="24"/>
        </w:rPr>
        <w:t>Are they interested in taking on a Theme PPI Champion role (if they haven’t already) – if they are ready to start this will trigger peer support/mentor role from existing theme champion.</w:t>
      </w:r>
    </w:p>
    <w:p w14:paraId="6BAC4F55" w14:textId="77777777" w:rsidR="003E6011" w:rsidRPr="00AD2999" w:rsidRDefault="003E6011" w:rsidP="081B470D">
      <w:pPr>
        <w:pStyle w:val="ListParagraph"/>
        <w:numPr>
          <w:ilvl w:val="0"/>
          <w:numId w:val="10"/>
        </w:numPr>
        <w:spacing w:line="259" w:lineRule="auto"/>
        <w:rPr>
          <w:sz w:val="24"/>
          <w:szCs w:val="24"/>
        </w:rPr>
      </w:pPr>
      <w:r w:rsidRPr="081B470D">
        <w:rPr>
          <w:sz w:val="24"/>
          <w:szCs w:val="24"/>
        </w:rPr>
        <w:t>Find out if there is anything they would like to get out of being a PPI Champion.</w:t>
      </w:r>
    </w:p>
    <w:p w14:paraId="4C6C570E"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Have they come across any issues/concerns?</w:t>
      </w:r>
    </w:p>
    <w:p w14:paraId="73549291" w14:textId="77777777" w:rsidR="003E6011" w:rsidRPr="00AD2999" w:rsidRDefault="003E6011" w:rsidP="004213A2">
      <w:pPr>
        <w:pStyle w:val="ListParagraph"/>
        <w:numPr>
          <w:ilvl w:val="0"/>
          <w:numId w:val="9"/>
        </w:numPr>
        <w:spacing w:line="259" w:lineRule="auto"/>
        <w:rPr>
          <w:rFonts w:cstheme="minorHAnsi"/>
          <w:sz w:val="24"/>
          <w:szCs w:val="24"/>
        </w:rPr>
      </w:pPr>
      <w:r w:rsidRPr="00AD2999">
        <w:rPr>
          <w:rFonts w:cstheme="minorHAnsi"/>
          <w:sz w:val="24"/>
          <w:szCs w:val="24"/>
        </w:rPr>
        <w:t>Follow up with an email if needed – when and what’s needed will depend on what is agreed.</w:t>
      </w:r>
    </w:p>
    <w:p w14:paraId="0E87C6C1" w14:textId="77777777" w:rsidR="003E6011" w:rsidRPr="00AD2999" w:rsidRDefault="003E6011" w:rsidP="003E6011">
      <w:pPr>
        <w:rPr>
          <w:rFonts w:cstheme="minorHAnsi"/>
          <w:b/>
          <w:i/>
          <w:sz w:val="24"/>
          <w:szCs w:val="24"/>
        </w:rPr>
      </w:pPr>
      <w:r w:rsidRPr="00AD2999">
        <w:rPr>
          <w:rFonts w:cstheme="minorHAnsi"/>
          <w:b/>
          <w:i/>
          <w:sz w:val="24"/>
          <w:szCs w:val="24"/>
        </w:rPr>
        <w:t>Assuming all is well we then follow the same pattern of support that we use for all PPI Champions:</w:t>
      </w:r>
    </w:p>
    <w:p w14:paraId="09E09A2E" w14:textId="77777777" w:rsidR="003E6011" w:rsidRPr="00AD2999" w:rsidRDefault="003E6011" w:rsidP="081B470D">
      <w:pPr>
        <w:pStyle w:val="ListParagraph"/>
        <w:numPr>
          <w:ilvl w:val="0"/>
          <w:numId w:val="10"/>
        </w:numPr>
        <w:spacing w:line="259" w:lineRule="auto"/>
        <w:rPr>
          <w:sz w:val="24"/>
          <w:szCs w:val="24"/>
        </w:rPr>
      </w:pPr>
      <w:r w:rsidRPr="0FCC21A3">
        <w:rPr>
          <w:sz w:val="24"/>
          <w:szCs w:val="24"/>
        </w:rPr>
        <w:t>Ongoing support as required – where this does not happen naturally we offer the opportunity for 1:1 support once or twice a year.</w:t>
      </w:r>
    </w:p>
    <w:p w14:paraId="088795CE"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In person 1:1 support is offered and encouraged at least every 2 years</w:t>
      </w:r>
    </w:p>
    <w:p w14:paraId="548AB110" w14:textId="77777777" w:rsidR="003E6011" w:rsidRPr="00AD2999" w:rsidRDefault="003E6011" w:rsidP="003E6011">
      <w:pPr>
        <w:rPr>
          <w:rFonts w:cstheme="minorHAnsi"/>
          <w:b/>
          <w:sz w:val="24"/>
          <w:szCs w:val="24"/>
          <w:u w:val="single"/>
        </w:rPr>
      </w:pPr>
      <w:r w:rsidRPr="00AD2999">
        <w:rPr>
          <w:rFonts w:cstheme="minorHAnsi"/>
          <w:b/>
          <w:sz w:val="24"/>
          <w:szCs w:val="24"/>
          <w:u w:val="single"/>
        </w:rPr>
        <w:t>9-12 months</w:t>
      </w:r>
    </w:p>
    <w:p w14:paraId="67B7999D" w14:textId="77777777" w:rsidR="003E6011" w:rsidRPr="00AD2999" w:rsidRDefault="003E6011" w:rsidP="0FCC21A3">
      <w:pPr>
        <w:rPr>
          <w:b/>
          <w:bCs/>
          <w:i/>
          <w:iCs/>
          <w:sz w:val="24"/>
          <w:szCs w:val="24"/>
        </w:rPr>
      </w:pPr>
      <w:r w:rsidRPr="0FCC21A3">
        <w:rPr>
          <w:b/>
          <w:bCs/>
          <w:i/>
          <w:iCs/>
          <w:sz w:val="24"/>
          <w:szCs w:val="24"/>
        </w:rPr>
        <w:t>Where things are proving not to be straightforward we can add in an additional Induction 1:1 at 12 months:</w:t>
      </w:r>
    </w:p>
    <w:p w14:paraId="098CFDF8"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The purpose of this will depend a little on why things are delayed but generally the aim is to find out how it is going.</w:t>
      </w:r>
    </w:p>
    <w:p w14:paraId="00F7D615"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Look at level of involvement/engagement – is everyone happy?</w:t>
      </w:r>
    </w:p>
    <w:p w14:paraId="3EDCA5F1"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Are they interested in taking on a Theme PPI Champion role (if they haven’t already)?</w:t>
      </w:r>
    </w:p>
    <w:p w14:paraId="31D6DEE0"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Find out if there is anything they would like to get out of being a PPI Champion.</w:t>
      </w:r>
    </w:p>
    <w:p w14:paraId="1B3111E4"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Have they come across any issues/concerns?</w:t>
      </w:r>
    </w:p>
    <w:p w14:paraId="44881B7D" w14:textId="77777777" w:rsidR="003E6011" w:rsidRPr="00AD2999" w:rsidRDefault="003E6011" w:rsidP="004213A2">
      <w:pPr>
        <w:pStyle w:val="ListParagraph"/>
        <w:numPr>
          <w:ilvl w:val="0"/>
          <w:numId w:val="10"/>
        </w:numPr>
        <w:spacing w:line="259" w:lineRule="auto"/>
        <w:rPr>
          <w:rFonts w:cstheme="minorHAnsi"/>
          <w:sz w:val="24"/>
          <w:szCs w:val="24"/>
        </w:rPr>
      </w:pPr>
      <w:r w:rsidRPr="00AD2999">
        <w:rPr>
          <w:rFonts w:cstheme="minorHAnsi"/>
          <w:sz w:val="24"/>
          <w:szCs w:val="24"/>
        </w:rPr>
        <w:t>Follow up with an email if needed.</w:t>
      </w:r>
    </w:p>
    <w:p w14:paraId="34936513" w14:textId="77777777" w:rsidR="003E6011" w:rsidRPr="00AD2999" w:rsidRDefault="003E6011" w:rsidP="003E6011">
      <w:pPr>
        <w:rPr>
          <w:rFonts w:cstheme="minorHAnsi"/>
          <w:b/>
          <w:sz w:val="24"/>
          <w:szCs w:val="24"/>
          <w:u w:val="single"/>
        </w:rPr>
      </w:pPr>
      <w:r w:rsidRPr="00AD2999">
        <w:rPr>
          <w:rFonts w:cstheme="minorHAnsi"/>
          <w:b/>
          <w:sz w:val="24"/>
          <w:szCs w:val="24"/>
          <w:u w:val="single"/>
        </w:rPr>
        <w:t>If things are not going well: (this process applies to all Public Contributors when things aren’t going well)</w:t>
      </w:r>
    </w:p>
    <w:p w14:paraId="15995B81" w14:textId="77777777" w:rsidR="003E6011" w:rsidRPr="00AD2999" w:rsidRDefault="003E6011" w:rsidP="003E6011">
      <w:pPr>
        <w:rPr>
          <w:rFonts w:cstheme="minorHAnsi"/>
          <w:b/>
          <w:i/>
          <w:sz w:val="24"/>
          <w:szCs w:val="24"/>
        </w:rPr>
      </w:pPr>
      <w:r>
        <w:rPr>
          <w:rFonts w:cstheme="minorHAnsi"/>
          <w:b/>
          <w:i/>
          <w:sz w:val="24"/>
          <w:szCs w:val="24"/>
        </w:rPr>
        <w:t>What do we mean:</w:t>
      </w:r>
    </w:p>
    <w:p w14:paraId="37580FEC" w14:textId="77777777" w:rsidR="003E6011" w:rsidRPr="00AD2999" w:rsidRDefault="003E6011" w:rsidP="004213A2">
      <w:pPr>
        <w:pStyle w:val="ListParagraph"/>
        <w:numPr>
          <w:ilvl w:val="0"/>
          <w:numId w:val="11"/>
        </w:numPr>
        <w:spacing w:line="259" w:lineRule="auto"/>
        <w:rPr>
          <w:rFonts w:cstheme="minorHAnsi"/>
          <w:sz w:val="24"/>
          <w:szCs w:val="24"/>
        </w:rPr>
      </w:pPr>
      <w:r w:rsidRPr="00AD2999">
        <w:rPr>
          <w:rFonts w:cstheme="minorHAnsi"/>
          <w:sz w:val="24"/>
          <w:szCs w:val="24"/>
        </w:rPr>
        <w:t>The Public Contributor is not happy</w:t>
      </w:r>
    </w:p>
    <w:p w14:paraId="4867A315" w14:textId="77777777" w:rsidR="003E6011" w:rsidRPr="00AD2999" w:rsidRDefault="003E6011" w:rsidP="004213A2">
      <w:pPr>
        <w:pStyle w:val="ListParagraph"/>
        <w:numPr>
          <w:ilvl w:val="0"/>
          <w:numId w:val="11"/>
        </w:numPr>
        <w:spacing w:line="259" w:lineRule="auto"/>
        <w:rPr>
          <w:rFonts w:cstheme="minorHAnsi"/>
          <w:sz w:val="24"/>
          <w:szCs w:val="24"/>
        </w:rPr>
      </w:pPr>
      <w:r w:rsidRPr="00AD2999">
        <w:rPr>
          <w:rFonts w:cstheme="minorHAnsi"/>
          <w:sz w:val="24"/>
          <w:szCs w:val="24"/>
        </w:rPr>
        <w:t>There is a lack of engagement/involvement (e.g. not responding to emails/contact, not attending meetings without a valid reason, not turning up at pre-arranged meetings/conversations etc).</w:t>
      </w:r>
    </w:p>
    <w:p w14:paraId="4AE82802" w14:textId="77777777" w:rsidR="003E6011" w:rsidRPr="00AD2999" w:rsidRDefault="003E6011" w:rsidP="004213A2">
      <w:pPr>
        <w:pStyle w:val="ListParagraph"/>
        <w:numPr>
          <w:ilvl w:val="0"/>
          <w:numId w:val="11"/>
        </w:numPr>
        <w:spacing w:line="259" w:lineRule="auto"/>
        <w:rPr>
          <w:rFonts w:cstheme="minorHAnsi"/>
          <w:sz w:val="24"/>
          <w:szCs w:val="24"/>
        </w:rPr>
      </w:pPr>
      <w:r w:rsidRPr="00AD2999">
        <w:rPr>
          <w:rFonts w:cstheme="minorHAnsi"/>
          <w:sz w:val="24"/>
          <w:szCs w:val="24"/>
        </w:rPr>
        <w:t>Behaviour is causing concern to ARC staff or other Public Contributors (e.g. not following basic ground rules, lack of engagement in meetings, diverting the group with unrelated discussions etc).</w:t>
      </w:r>
    </w:p>
    <w:p w14:paraId="4753A43A" w14:textId="77777777" w:rsidR="003E6011" w:rsidRPr="00AD2999" w:rsidRDefault="003E6011" w:rsidP="003E6011">
      <w:pPr>
        <w:rPr>
          <w:rFonts w:cstheme="minorHAnsi"/>
          <w:b/>
          <w:i/>
          <w:sz w:val="24"/>
          <w:szCs w:val="24"/>
        </w:rPr>
      </w:pPr>
      <w:r w:rsidRPr="00AD2999">
        <w:rPr>
          <w:rFonts w:cstheme="minorHAnsi"/>
          <w:b/>
          <w:i/>
          <w:sz w:val="24"/>
          <w:szCs w:val="24"/>
        </w:rPr>
        <w:t>Potential actions:</w:t>
      </w:r>
    </w:p>
    <w:p w14:paraId="6ED01431" w14:textId="77777777" w:rsidR="003E6011" w:rsidRPr="00AD2999" w:rsidRDefault="003E6011" w:rsidP="004213A2">
      <w:pPr>
        <w:pStyle w:val="ListParagraph"/>
        <w:numPr>
          <w:ilvl w:val="0"/>
          <w:numId w:val="12"/>
        </w:numPr>
        <w:spacing w:line="259" w:lineRule="auto"/>
        <w:rPr>
          <w:rFonts w:cstheme="minorHAnsi"/>
          <w:sz w:val="24"/>
          <w:szCs w:val="24"/>
        </w:rPr>
      </w:pPr>
      <w:r w:rsidRPr="00AD2999">
        <w:rPr>
          <w:rFonts w:cstheme="minorHAnsi"/>
          <w:sz w:val="24"/>
          <w:szCs w:val="24"/>
        </w:rPr>
        <w:t>Arrange an additional support meeting to discuss.</w:t>
      </w:r>
    </w:p>
    <w:p w14:paraId="3FA394CF" w14:textId="77777777" w:rsidR="003E6011" w:rsidRPr="00AD2999" w:rsidRDefault="003E6011" w:rsidP="004213A2">
      <w:pPr>
        <w:pStyle w:val="ListParagraph"/>
        <w:numPr>
          <w:ilvl w:val="0"/>
          <w:numId w:val="12"/>
        </w:numPr>
        <w:spacing w:line="259" w:lineRule="auto"/>
        <w:rPr>
          <w:rFonts w:cstheme="minorHAnsi"/>
          <w:sz w:val="24"/>
          <w:szCs w:val="24"/>
        </w:rPr>
      </w:pPr>
      <w:r w:rsidRPr="00AD2999">
        <w:rPr>
          <w:rFonts w:cstheme="minorHAnsi"/>
          <w:sz w:val="24"/>
          <w:szCs w:val="24"/>
        </w:rPr>
        <w:t>Prolong induction support period (if still in induction period).</w:t>
      </w:r>
    </w:p>
    <w:p w14:paraId="0190B088" w14:textId="77777777" w:rsidR="003E6011" w:rsidRPr="00AD2999" w:rsidRDefault="003E6011" w:rsidP="004213A2">
      <w:pPr>
        <w:pStyle w:val="ListParagraph"/>
        <w:numPr>
          <w:ilvl w:val="0"/>
          <w:numId w:val="12"/>
        </w:numPr>
        <w:spacing w:line="259" w:lineRule="auto"/>
        <w:rPr>
          <w:rFonts w:cstheme="minorHAnsi"/>
          <w:sz w:val="24"/>
          <w:szCs w:val="24"/>
        </w:rPr>
      </w:pPr>
      <w:r w:rsidRPr="00AD2999">
        <w:rPr>
          <w:rFonts w:cstheme="minorHAnsi"/>
          <w:sz w:val="24"/>
          <w:szCs w:val="24"/>
        </w:rPr>
        <w:t>Have a session on purpose of group and/or roles and/or ground rules.</w:t>
      </w:r>
    </w:p>
    <w:p w14:paraId="26D0F107" w14:textId="77777777" w:rsidR="003E6011" w:rsidRPr="00AD2999" w:rsidRDefault="003E6011" w:rsidP="004213A2">
      <w:pPr>
        <w:pStyle w:val="ListParagraph"/>
        <w:numPr>
          <w:ilvl w:val="0"/>
          <w:numId w:val="12"/>
        </w:numPr>
        <w:spacing w:line="259" w:lineRule="auto"/>
        <w:rPr>
          <w:rFonts w:cstheme="minorHAnsi"/>
          <w:sz w:val="24"/>
          <w:szCs w:val="24"/>
        </w:rPr>
      </w:pPr>
      <w:r>
        <w:rPr>
          <w:rFonts w:cstheme="minorHAnsi"/>
          <w:sz w:val="24"/>
          <w:szCs w:val="24"/>
        </w:rPr>
        <w:lastRenderedPageBreak/>
        <w:t xml:space="preserve">Check if the </w:t>
      </w:r>
      <w:r w:rsidRPr="00AD2999">
        <w:rPr>
          <w:rFonts w:cstheme="minorHAnsi"/>
          <w:sz w:val="24"/>
          <w:szCs w:val="24"/>
        </w:rPr>
        <w:t>Public Contributor is happy and wants to continue (e.g. are there any issues making it difficult for them, are there things we can do differently etc).</w:t>
      </w:r>
    </w:p>
    <w:p w14:paraId="38BB660C" w14:textId="77777777" w:rsidR="003E6011" w:rsidRPr="00AD2999" w:rsidRDefault="003E6011" w:rsidP="081B470D">
      <w:pPr>
        <w:pStyle w:val="ListParagraph"/>
        <w:numPr>
          <w:ilvl w:val="0"/>
          <w:numId w:val="12"/>
        </w:numPr>
        <w:spacing w:line="259" w:lineRule="auto"/>
        <w:rPr>
          <w:sz w:val="24"/>
          <w:szCs w:val="24"/>
        </w:rPr>
      </w:pPr>
      <w:r w:rsidRPr="0FCC21A3">
        <w:rPr>
          <w:sz w:val="24"/>
          <w:szCs w:val="24"/>
        </w:rPr>
        <w:t>If there is a Peer Support arrangement in place potentially arrange a 3 way meeting, alternatively involve the Chair of the group if appropriate.</w:t>
      </w:r>
    </w:p>
    <w:p w14:paraId="0846AACC" w14:textId="77777777" w:rsidR="003E6011" w:rsidRPr="00AD2999" w:rsidRDefault="003E6011" w:rsidP="004213A2">
      <w:pPr>
        <w:pStyle w:val="ListParagraph"/>
        <w:numPr>
          <w:ilvl w:val="0"/>
          <w:numId w:val="12"/>
        </w:numPr>
        <w:spacing w:line="259" w:lineRule="auto"/>
        <w:rPr>
          <w:rFonts w:cstheme="minorHAnsi"/>
          <w:sz w:val="24"/>
          <w:szCs w:val="24"/>
        </w:rPr>
      </w:pPr>
      <w:r w:rsidRPr="00AD2999">
        <w:rPr>
          <w:rFonts w:cstheme="minorHAnsi"/>
          <w:sz w:val="24"/>
          <w:szCs w:val="24"/>
        </w:rPr>
        <w:t>Involve another member of the ARC team (usually the ARCs Senior Manager) if necessary (e.g. if the issue is with the PPI lead or the matter is out of the PPI leads control)</w:t>
      </w:r>
    </w:p>
    <w:p w14:paraId="1A131A65" w14:textId="77777777" w:rsidR="003E6011" w:rsidRPr="00AD2999" w:rsidRDefault="003E6011" w:rsidP="0FCC21A3">
      <w:pPr>
        <w:rPr>
          <w:b/>
          <w:bCs/>
          <w:i/>
          <w:iCs/>
          <w:sz w:val="24"/>
          <w:szCs w:val="24"/>
        </w:rPr>
      </w:pPr>
      <w:r w:rsidRPr="0FCC21A3">
        <w:rPr>
          <w:b/>
          <w:bCs/>
          <w:i/>
          <w:iCs/>
          <w:sz w:val="24"/>
          <w:szCs w:val="24"/>
        </w:rPr>
        <w:t>There may be difficult situations where we cannot resolve matters and it is not possible to continue and we need to let someone go or they choose to leave.  This should always be discussed with the ARC Senior manager before any final action is taken.</w:t>
      </w:r>
    </w:p>
    <w:p w14:paraId="69E856B3" w14:textId="52875C91" w:rsidR="003E6011" w:rsidRPr="00AD2999" w:rsidRDefault="003E6011" w:rsidP="003E6011">
      <w:pPr>
        <w:rPr>
          <w:rFonts w:cstheme="minorHAnsi"/>
          <w:sz w:val="24"/>
          <w:szCs w:val="24"/>
        </w:rPr>
      </w:pPr>
    </w:p>
    <w:p w14:paraId="11531235" w14:textId="77777777" w:rsidR="003E6011" w:rsidRPr="0016571F" w:rsidRDefault="003E6011" w:rsidP="003E6011">
      <w:pPr>
        <w:rPr>
          <w:rFonts w:cstheme="minorHAnsi"/>
          <w:b/>
          <w:sz w:val="24"/>
          <w:szCs w:val="24"/>
          <w:u w:val="single"/>
        </w:rPr>
      </w:pPr>
      <w:r w:rsidRPr="0016571F">
        <w:rPr>
          <w:rFonts w:cstheme="minorHAnsi"/>
          <w:b/>
          <w:sz w:val="24"/>
          <w:szCs w:val="24"/>
          <w:u w:val="single"/>
        </w:rPr>
        <w:t>Timeline:</w:t>
      </w:r>
    </w:p>
    <w:tbl>
      <w:tblPr>
        <w:tblStyle w:val="TableGrid"/>
        <w:tblW w:w="9209" w:type="dxa"/>
        <w:tblLook w:val="04A0" w:firstRow="1" w:lastRow="0" w:firstColumn="1" w:lastColumn="0" w:noHBand="0" w:noVBand="1"/>
      </w:tblPr>
      <w:tblGrid>
        <w:gridCol w:w="1838"/>
        <w:gridCol w:w="2552"/>
        <w:gridCol w:w="2551"/>
        <w:gridCol w:w="2268"/>
      </w:tblGrid>
      <w:tr w:rsidR="003E6011" w:rsidRPr="00AD2999" w14:paraId="4635A269" w14:textId="77777777" w:rsidTr="0FCC21A3">
        <w:trPr>
          <w:trHeight w:val="567"/>
        </w:trPr>
        <w:tc>
          <w:tcPr>
            <w:tcW w:w="1838" w:type="dxa"/>
            <w:vAlign w:val="center"/>
          </w:tcPr>
          <w:p w14:paraId="3AEE346D" w14:textId="77777777" w:rsidR="003E6011" w:rsidRPr="00AD2999" w:rsidRDefault="003E6011" w:rsidP="003E6011">
            <w:pPr>
              <w:jc w:val="center"/>
              <w:rPr>
                <w:rFonts w:cstheme="minorHAnsi"/>
                <w:b/>
                <w:sz w:val="24"/>
                <w:szCs w:val="24"/>
              </w:rPr>
            </w:pPr>
            <w:r w:rsidRPr="00AD2999">
              <w:rPr>
                <w:rFonts w:cstheme="minorHAnsi"/>
                <w:b/>
                <w:sz w:val="24"/>
                <w:szCs w:val="24"/>
              </w:rPr>
              <w:t>Month</w:t>
            </w:r>
          </w:p>
        </w:tc>
        <w:tc>
          <w:tcPr>
            <w:tcW w:w="2552" w:type="dxa"/>
            <w:vAlign w:val="center"/>
          </w:tcPr>
          <w:p w14:paraId="5F5E03C6" w14:textId="77777777" w:rsidR="003E6011" w:rsidRPr="00AD2999" w:rsidRDefault="003E6011" w:rsidP="081B470D">
            <w:pPr>
              <w:rPr>
                <w:b/>
                <w:bCs/>
                <w:sz w:val="24"/>
                <w:szCs w:val="24"/>
              </w:rPr>
            </w:pPr>
            <w:r w:rsidRPr="0FCC21A3">
              <w:rPr>
                <w:b/>
                <w:bCs/>
                <w:sz w:val="24"/>
                <w:szCs w:val="24"/>
              </w:rPr>
              <w:t>1:1 sessions</w:t>
            </w:r>
          </w:p>
        </w:tc>
        <w:tc>
          <w:tcPr>
            <w:tcW w:w="2551" w:type="dxa"/>
            <w:vAlign w:val="center"/>
          </w:tcPr>
          <w:p w14:paraId="34C3BC64" w14:textId="77777777" w:rsidR="003E6011" w:rsidRPr="00AD2999" w:rsidRDefault="003E6011" w:rsidP="003E6011">
            <w:pPr>
              <w:rPr>
                <w:rFonts w:cstheme="minorHAnsi"/>
                <w:b/>
                <w:sz w:val="24"/>
                <w:szCs w:val="24"/>
              </w:rPr>
            </w:pPr>
            <w:r w:rsidRPr="00AD2999">
              <w:rPr>
                <w:rFonts w:cstheme="minorHAnsi"/>
                <w:b/>
                <w:sz w:val="24"/>
                <w:szCs w:val="24"/>
              </w:rPr>
              <w:t>Emails</w:t>
            </w:r>
          </w:p>
        </w:tc>
        <w:tc>
          <w:tcPr>
            <w:tcW w:w="2268" w:type="dxa"/>
            <w:vAlign w:val="center"/>
          </w:tcPr>
          <w:p w14:paraId="541F0CA9" w14:textId="77777777" w:rsidR="003E6011" w:rsidRPr="00AD2999" w:rsidRDefault="003E6011" w:rsidP="003E6011">
            <w:pPr>
              <w:rPr>
                <w:rFonts w:cstheme="minorHAnsi"/>
                <w:b/>
                <w:sz w:val="24"/>
                <w:szCs w:val="24"/>
              </w:rPr>
            </w:pPr>
            <w:r w:rsidRPr="00AD2999">
              <w:rPr>
                <w:rFonts w:cstheme="minorHAnsi"/>
                <w:b/>
                <w:sz w:val="24"/>
                <w:szCs w:val="24"/>
              </w:rPr>
              <w:t>Meetings</w:t>
            </w:r>
          </w:p>
        </w:tc>
      </w:tr>
      <w:tr w:rsidR="003E6011" w:rsidRPr="00A56217" w14:paraId="36B3E21E" w14:textId="77777777" w:rsidTr="0FCC21A3">
        <w:trPr>
          <w:trHeight w:val="567"/>
        </w:trPr>
        <w:tc>
          <w:tcPr>
            <w:tcW w:w="1838" w:type="dxa"/>
            <w:vAlign w:val="center"/>
          </w:tcPr>
          <w:p w14:paraId="12A46905" w14:textId="77777777" w:rsidR="003E6011" w:rsidRPr="00AD2999" w:rsidRDefault="003E6011" w:rsidP="00A56217">
            <w:pPr>
              <w:rPr>
                <w:sz w:val="24"/>
                <w:szCs w:val="24"/>
              </w:rPr>
            </w:pPr>
            <w:r w:rsidRPr="0D121F6F">
              <w:rPr>
                <w:sz w:val="24"/>
                <w:szCs w:val="24"/>
              </w:rPr>
              <w:t>0</w:t>
            </w:r>
          </w:p>
        </w:tc>
        <w:tc>
          <w:tcPr>
            <w:tcW w:w="2552" w:type="dxa"/>
            <w:vAlign w:val="center"/>
          </w:tcPr>
          <w:p w14:paraId="485D943F" w14:textId="77777777" w:rsidR="003E6011" w:rsidRPr="00AD2999" w:rsidRDefault="003E6011" w:rsidP="0D121F6F">
            <w:pPr>
              <w:rPr>
                <w:sz w:val="24"/>
                <w:szCs w:val="24"/>
              </w:rPr>
            </w:pPr>
            <w:r w:rsidRPr="0D121F6F">
              <w:rPr>
                <w:sz w:val="24"/>
                <w:szCs w:val="24"/>
              </w:rPr>
              <w:t>Recruitment chat</w:t>
            </w:r>
          </w:p>
        </w:tc>
        <w:tc>
          <w:tcPr>
            <w:tcW w:w="2551" w:type="dxa"/>
            <w:vAlign w:val="center"/>
          </w:tcPr>
          <w:p w14:paraId="490D0DE7" w14:textId="77777777" w:rsidR="003E6011" w:rsidRPr="00AD2999" w:rsidRDefault="003E6011" w:rsidP="0D121F6F">
            <w:pPr>
              <w:rPr>
                <w:sz w:val="24"/>
                <w:szCs w:val="24"/>
              </w:rPr>
            </w:pPr>
            <w:r w:rsidRPr="0D121F6F">
              <w:rPr>
                <w:sz w:val="24"/>
                <w:szCs w:val="24"/>
              </w:rPr>
              <w:t>Offer</w:t>
            </w:r>
          </w:p>
        </w:tc>
        <w:tc>
          <w:tcPr>
            <w:tcW w:w="2268" w:type="dxa"/>
            <w:vAlign w:val="center"/>
          </w:tcPr>
          <w:p w14:paraId="14DB28AB" w14:textId="77777777" w:rsidR="003E6011" w:rsidRPr="00A56217" w:rsidRDefault="003E6011" w:rsidP="003E6011">
            <w:pPr>
              <w:rPr>
                <w:sz w:val="24"/>
                <w:szCs w:val="24"/>
              </w:rPr>
            </w:pPr>
          </w:p>
        </w:tc>
      </w:tr>
      <w:tr w:rsidR="003E6011" w:rsidRPr="00A56217" w14:paraId="4CE15A82" w14:textId="77777777" w:rsidTr="0FCC21A3">
        <w:trPr>
          <w:trHeight w:val="567"/>
        </w:trPr>
        <w:tc>
          <w:tcPr>
            <w:tcW w:w="1838" w:type="dxa"/>
            <w:vAlign w:val="center"/>
          </w:tcPr>
          <w:p w14:paraId="2DF66301" w14:textId="77777777" w:rsidR="003E6011" w:rsidRPr="00AD2999" w:rsidRDefault="003E6011" w:rsidP="00A56217">
            <w:pPr>
              <w:rPr>
                <w:sz w:val="24"/>
                <w:szCs w:val="24"/>
              </w:rPr>
            </w:pPr>
            <w:r w:rsidRPr="0D121F6F">
              <w:rPr>
                <w:sz w:val="24"/>
                <w:szCs w:val="24"/>
              </w:rPr>
              <w:t>1</w:t>
            </w:r>
          </w:p>
        </w:tc>
        <w:tc>
          <w:tcPr>
            <w:tcW w:w="2552" w:type="dxa"/>
            <w:vAlign w:val="center"/>
          </w:tcPr>
          <w:p w14:paraId="6040E97D" w14:textId="77777777" w:rsidR="003E6011" w:rsidRPr="00A56217" w:rsidRDefault="003E6011" w:rsidP="0D121F6F">
            <w:pPr>
              <w:rPr>
                <w:sz w:val="24"/>
                <w:szCs w:val="24"/>
              </w:rPr>
            </w:pPr>
          </w:p>
        </w:tc>
        <w:tc>
          <w:tcPr>
            <w:tcW w:w="2551" w:type="dxa"/>
            <w:vAlign w:val="center"/>
          </w:tcPr>
          <w:p w14:paraId="354A4F3B" w14:textId="77777777" w:rsidR="003E6011" w:rsidRPr="00A56217" w:rsidRDefault="003E6011" w:rsidP="0D121F6F">
            <w:pPr>
              <w:rPr>
                <w:sz w:val="24"/>
                <w:szCs w:val="24"/>
              </w:rPr>
            </w:pPr>
            <w:r w:rsidRPr="0D121F6F">
              <w:rPr>
                <w:sz w:val="24"/>
                <w:szCs w:val="24"/>
              </w:rPr>
              <w:t>Send initial email with information and links to cover at first 1:1</w:t>
            </w:r>
          </w:p>
        </w:tc>
        <w:tc>
          <w:tcPr>
            <w:tcW w:w="2268" w:type="dxa"/>
            <w:vAlign w:val="center"/>
          </w:tcPr>
          <w:p w14:paraId="7ECE56B5" w14:textId="77777777" w:rsidR="003E6011" w:rsidRPr="00A56217" w:rsidRDefault="003E6011" w:rsidP="003E6011">
            <w:pPr>
              <w:rPr>
                <w:sz w:val="24"/>
                <w:szCs w:val="24"/>
              </w:rPr>
            </w:pPr>
          </w:p>
        </w:tc>
      </w:tr>
      <w:tr w:rsidR="003E6011" w:rsidRPr="00A56217" w14:paraId="20C6AE7F" w14:textId="77777777" w:rsidTr="0FCC21A3">
        <w:trPr>
          <w:trHeight w:val="567"/>
        </w:trPr>
        <w:tc>
          <w:tcPr>
            <w:tcW w:w="1838" w:type="dxa"/>
            <w:vAlign w:val="center"/>
          </w:tcPr>
          <w:p w14:paraId="7C5A17B2" w14:textId="77777777" w:rsidR="003E6011" w:rsidRPr="00AD2999" w:rsidRDefault="003E6011" w:rsidP="00A56217">
            <w:pPr>
              <w:rPr>
                <w:sz w:val="24"/>
                <w:szCs w:val="24"/>
              </w:rPr>
            </w:pPr>
            <w:r w:rsidRPr="0D121F6F">
              <w:rPr>
                <w:sz w:val="24"/>
                <w:szCs w:val="24"/>
              </w:rPr>
              <w:t>2</w:t>
            </w:r>
          </w:p>
        </w:tc>
        <w:tc>
          <w:tcPr>
            <w:tcW w:w="2552" w:type="dxa"/>
            <w:vAlign w:val="center"/>
          </w:tcPr>
          <w:p w14:paraId="274C0C24" w14:textId="77777777" w:rsidR="003E6011" w:rsidRPr="00A56217" w:rsidRDefault="003E6011" w:rsidP="0D121F6F">
            <w:pPr>
              <w:rPr>
                <w:sz w:val="24"/>
                <w:szCs w:val="24"/>
              </w:rPr>
            </w:pPr>
            <w:r w:rsidRPr="0D121F6F">
              <w:rPr>
                <w:sz w:val="24"/>
                <w:szCs w:val="24"/>
              </w:rPr>
              <w:t>Arrange first 1:1 – induction meeting</w:t>
            </w:r>
          </w:p>
        </w:tc>
        <w:tc>
          <w:tcPr>
            <w:tcW w:w="2551" w:type="dxa"/>
            <w:vAlign w:val="center"/>
          </w:tcPr>
          <w:p w14:paraId="2B7A79F3" w14:textId="77777777" w:rsidR="003E6011" w:rsidRPr="00A56217" w:rsidRDefault="003E6011" w:rsidP="0D121F6F">
            <w:pPr>
              <w:rPr>
                <w:sz w:val="24"/>
                <w:szCs w:val="24"/>
              </w:rPr>
            </w:pPr>
          </w:p>
        </w:tc>
        <w:tc>
          <w:tcPr>
            <w:tcW w:w="2268" w:type="dxa"/>
            <w:vMerge w:val="restart"/>
            <w:vAlign w:val="center"/>
          </w:tcPr>
          <w:p w14:paraId="14A533F3" w14:textId="77777777" w:rsidR="003E6011" w:rsidRPr="00A56217" w:rsidRDefault="003E6011" w:rsidP="003E6011">
            <w:pPr>
              <w:rPr>
                <w:sz w:val="24"/>
                <w:szCs w:val="24"/>
              </w:rPr>
            </w:pPr>
            <w:r w:rsidRPr="00A56217">
              <w:rPr>
                <w:sz w:val="24"/>
                <w:szCs w:val="24"/>
              </w:rPr>
              <w:t>Observation meeting</w:t>
            </w:r>
          </w:p>
        </w:tc>
      </w:tr>
      <w:tr w:rsidR="003E6011" w:rsidRPr="00A56217" w14:paraId="5813FDBB" w14:textId="77777777" w:rsidTr="0FCC21A3">
        <w:trPr>
          <w:trHeight w:val="567"/>
        </w:trPr>
        <w:tc>
          <w:tcPr>
            <w:tcW w:w="1838" w:type="dxa"/>
            <w:vAlign w:val="center"/>
          </w:tcPr>
          <w:p w14:paraId="012100FA" w14:textId="77777777" w:rsidR="003E6011" w:rsidRPr="00AD2999" w:rsidRDefault="003E6011" w:rsidP="00A56217">
            <w:pPr>
              <w:rPr>
                <w:sz w:val="24"/>
                <w:szCs w:val="24"/>
              </w:rPr>
            </w:pPr>
            <w:r w:rsidRPr="0D121F6F">
              <w:rPr>
                <w:sz w:val="24"/>
                <w:szCs w:val="24"/>
              </w:rPr>
              <w:t>3</w:t>
            </w:r>
          </w:p>
        </w:tc>
        <w:tc>
          <w:tcPr>
            <w:tcW w:w="2552" w:type="dxa"/>
            <w:vAlign w:val="center"/>
          </w:tcPr>
          <w:p w14:paraId="6A2F2B31" w14:textId="77777777" w:rsidR="003E6011" w:rsidRPr="00A56217" w:rsidRDefault="003E6011" w:rsidP="0D121F6F">
            <w:pPr>
              <w:rPr>
                <w:sz w:val="24"/>
                <w:szCs w:val="24"/>
              </w:rPr>
            </w:pPr>
          </w:p>
        </w:tc>
        <w:tc>
          <w:tcPr>
            <w:tcW w:w="2551" w:type="dxa"/>
            <w:vAlign w:val="center"/>
          </w:tcPr>
          <w:p w14:paraId="2E98F5BB" w14:textId="77777777" w:rsidR="003E6011" w:rsidRPr="00A56217" w:rsidRDefault="003E6011" w:rsidP="0D121F6F">
            <w:pPr>
              <w:rPr>
                <w:sz w:val="24"/>
                <w:szCs w:val="24"/>
              </w:rPr>
            </w:pPr>
            <w:r w:rsidRPr="0D121F6F">
              <w:rPr>
                <w:sz w:val="24"/>
                <w:szCs w:val="24"/>
              </w:rPr>
              <w:t>Follow up email after first 1:1 session</w:t>
            </w:r>
          </w:p>
        </w:tc>
        <w:tc>
          <w:tcPr>
            <w:tcW w:w="2268" w:type="dxa"/>
            <w:vMerge/>
            <w:vAlign w:val="center"/>
          </w:tcPr>
          <w:p w14:paraId="3D17E0B3" w14:textId="77777777" w:rsidR="003E6011" w:rsidRPr="00A56217" w:rsidRDefault="003E6011" w:rsidP="003E6011">
            <w:pPr>
              <w:rPr>
                <w:sz w:val="24"/>
                <w:szCs w:val="24"/>
              </w:rPr>
            </w:pPr>
          </w:p>
        </w:tc>
      </w:tr>
      <w:tr w:rsidR="003E6011" w:rsidRPr="00A56217" w14:paraId="1D921B6E" w14:textId="77777777" w:rsidTr="0FCC21A3">
        <w:trPr>
          <w:trHeight w:val="567"/>
        </w:trPr>
        <w:tc>
          <w:tcPr>
            <w:tcW w:w="1838" w:type="dxa"/>
            <w:vAlign w:val="center"/>
          </w:tcPr>
          <w:p w14:paraId="11F9CC72" w14:textId="77777777" w:rsidR="003E6011" w:rsidRPr="00AD2999" w:rsidRDefault="003E6011" w:rsidP="00A56217">
            <w:pPr>
              <w:rPr>
                <w:sz w:val="24"/>
                <w:szCs w:val="24"/>
              </w:rPr>
            </w:pPr>
            <w:r w:rsidRPr="0D121F6F">
              <w:rPr>
                <w:sz w:val="24"/>
                <w:szCs w:val="24"/>
              </w:rPr>
              <w:t>4</w:t>
            </w:r>
          </w:p>
        </w:tc>
        <w:tc>
          <w:tcPr>
            <w:tcW w:w="2552" w:type="dxa"/>
            <w:vMerge w:val="restart"/>
            <w:vAlign w:val="center"/>
          </w:tcPr>
          <w:p w14:paraId="3724FF44" w14:textId="77777777" w:rsidR="003E6011" w:rsidRPr="00AD2999" w:rsidRDefault="003E6011" w:rsidP="0D121F6F">
            <w:pPr>
              <w:rPr>
                <w:sz w:val="24"/>
                <w:szCs w:val="24"/>
              </w:rPr>
            </w:pPr>
            <w:r w:rsidRPr="0D121F6F">
              <w:rPr>
                <w:sz w:val="24"/>
                <w:szCs w:val="24"/>
              </w:rPr>
              <w:t>Arrange 2</w:t>
            </w:r>
            <w:r w:rsidRPr="00A56217">
              <w:rPr>
                <w:sz w:val="24"/>
                <w:szCs w:val="24"/>
              </w:rPr>
              <w:t>nd</w:t>
            </w:r>
            <w:r w:rsidRPr="0D121F6F">
              <w:rPr>
                <w:sz w:val="24"/>
                <w:szCs w:val="24"/>
              </w:rPr>
              <w:t xml:space="preserve"> 1:1 – how’s it going</w:t>
            </w:r>
          </w:p>
        </w:tc>
        <w:tc>
          <w:tcPr>
            <w:tcW w:w="2551" w:type="dxa"/>
            <w:vAlign w:val="center"/>
          </w:tcPr>
          <w:p w14:paraId="2161A2FB" w14:textId="77777777" w:rsidR="003E6011" w:rsidRPr="00AD2999" w:rsidRDefault="003E6011" w:rsidP="0D121F6F">
            <w:pPr>
              <w:rPr>
                <w:sz w:val="24"/>
                <w:szCs w:val="24"/>
              </w:rPr>
            </w:pPr>
            <w:r w:rsidRPr="0D121F6F">
              <w:rPr>
                <w:sz w:val="24"/>
                <w:szCs w:val="24"/>
              </w:rPr>
              <w:t>Follow up after observation meeting</w:t>
            </w:r>
          </w:p>
        </w:tc>
        <w:tc>
          <w:tcPr>
            <w:tcW w:w="2268" w:type="dxa"/>
            <w:vMerge w:val="restart"/>
            <w:vAlign w:val="center"/>
          </w:tcPr>
          <w:p w14:paraId="39B63167" w14:textId="77777777" w:rsidR="003E6011" w:rsidRPr="00A56217" w:rsidRDefault="003E6011" w:rsidP="003E6011">
            <w:pPr>
              <w:rPr>
                <w:sz w:val="24"/>
                <w:szCs w:val="24"/>
              </w:rPr>
            </w:pPr>
            <w:r w:rsidRPr="00A56217">
              <w:rPr>
                <w:sz w:val="24"/>
                <w:szCs w:val="24"/>
              </w:rPr>
              <w:t>1st full meeting</w:t>
            </w:r>
          </w:p>
        </w:tc>
      </w:tr>
      <w:tr w:rsidR="003E6011" w:rsidRPr="00A56217" w14:paraId="6C5F10A6" w14:textId="77777777" w:rsidTr="0FCC21A3">
        <w:trPr>
          <w:trHeight w:val="567"/>
        </w:trPr>
        <w:tc>
          <w:tcPr>
            <w:tcW w:w="1838" w:type="dxa"/>
            <w:vAlign w:val="center"/>
          </w:tcPr>
          <w:p w14:paraId="09330ABB" w14:textId="77777777" w:rsidR="003E6011" w:rsidRPr="00AD2999" w:rsidRDefault="003E6011" w:rsidP="00A56217">
            <w:pPr>
              <w:rPr>
                <w:sz w:val="24"/>
                <w:szCs w:val="24"/>
              </w:rPr>
            </w:pPr>
            <w:r w:rsidRPr="0D121F6F">
              <w:rPr>
                <w:sz w:val="24"/>
                <w:szCs w:val="24"/>
              </w:rPr>
              <w:t>5</w:t>
            </w:r>
          </w:p>
        </w:tc>
        <w:tc>
          <w:tcPr>
            <w:tcW w:w="2552" w:type="dxa"/>
            <w:vMerge/>
            <w:vAlign w:val="center"/>
          </w:tcPr>
          <w:p w14:paraId="062F4B27" w14:textId="77777777" w:rsidR="003E6011" w:rsidRPr="00A56217" w:rsidRDefault="003E6011" w:rsidP="003E6011">
            <w:pPr>
              <w:rPr>
                <w:sz w:val="24"/>
                <w:szCs w:val="24"/>
              </w:rPr>
            </w:pPr>
          </w:p>
        </w:tc>
        <w:tc>
          <w:tcPr>
            <w:tcW w:w="2551" w:type="dxa"/>
            <w:vAlign w:val="center"/>
          </w:tcPr>
          <w:p w14:paraId="5F62D8E1" w14:textId="77777777" w:rsidR="003E6011" w:rsidRPr="00AD2999" w:rsidRDefault="003E6011" w:rsidP="0D121F6F">
            <w:pPr>
              <w:rPr>
                <w:sz w:val="24"/>
                <w:szCs w:val="24"/>
              </w:rPr>
            </w:pPr>
          </w:p>
        </w:tc>
        <w:tc>
          <w:tcPr>
            <w:tcW w:w="2268" w:type="dxa"/>
            <w:vMerge/>
            <w:vAlign w:val="center"/>
          </w:tcPr>
          <w:p w14:paraId="6E27150A" w14:textId="77777777" w:rsidR="003E6011" w:rsidRPr="00A56217" w:rsidRDefault="003E6011" w:rsidP="003E6011">
            <w:pPr>
              <w:rPr>
                <w:sz w:val="24"/>
                <w:szCs w:val="24"/>
              </w:rPr>
            </w:pPr>
          </w:p>
        </w:tc>
      </w:tr>
      <w:tr w:rsidR="003E6011" w:rsidRPr="00A56217" w14:paraId="28A336E7" w14:textId="77777777" w:rsidTr="0FCC21A3">
        <w:trPr>
          <w:trHeight w:val="567"/>
        </w:trPr>
        <w:tc>
          <w:tcPr>
            <w:tcW w:w="1838" w:type="dxa"/>
            <w:vAlign w:val="center"/>
          </w:tcPr>
          <w:p w14:paraId="160E9F6D" w14:textId="77777777" w:rsidR="003E6011" w:rsidRPr="00AD2999" w:rsidRDefault="003E6011" w:rsidP="00A56217">
            <w:pPr>
              <w:rPr>
                <w:sz w:val="24"/>
                <w:szCs w:val="24"/>
              </w:rPr>
            </w:pPr>
            <w:r w:rsidRPr="0D121F6F">
              <w:rPr>
                <w:sz w:val="24"/>
                <w:szCs w:val="24"/>
              </w:rPr>
              <w:t>6</w:t>
            </w:r>
          </w:p>
        </w:tc>
        <w:tc>
          <w:tcPr>
            <w:tcW w:w="2552" w:type="dxa"/>
            <w:vMerge/>
            <w:vAlign w:val="center"/>
          </w:tcPr>
          <w:p w14:paraId="4A06DA76" w14:textId="77777777" w:rsidR="003E6011" w:rsidRPr="00A56217" w:rsidRDefault="003E6011" w:rsidP="003E6011">
            <w:pPr>
              <w:rPr>
                <w:sz w:val="24"/>
                <w:szCs w:val="24"/>
              </w:rPr>
            </w:pPr>
          </w:p>
        </w:tc>
        <w:tc>
          <w:tcPr>
            <w:tcW w:w="2551" w:type="dxa"/>
            <w:vAlign w:val="center"/>
          </w:tcPr>
          <w:p w14:paraId="03F7ADBF" w14:textId="77777777" w:rsidR="003E6011" w:rsidRPr="00AD2999" w:rsidRDefault="003E6011" w:rsidP="0D121F6F">
            <w:pPr>
              <w:rPr>
                <w:sz w:val="24"/>
                <w:szCs w:val="24"/>
              </w:rPr>
            </w:pPr>
          </w:p>
        </w:tc>
        <w:tc>
          <w:tcPr>
            <w:tcW w:w="2268" w:type="dxa"/>
            <w:vMerge/>
            <w:vAlign w:val="center"/>
          </w:tcPr>
          <w:p w14:paraId="4FD139CC" w14:textId="77777777" w:rsidR="003E6011" w:rsidRPr="00A56217" w:rsidRDefault="003E6011" w:rsidP="003E6011">
            <w:pPr>
              <w:rPr>
                <w:sz w:val="24"/>
                <w:szCs w:val="24"/>
              </w:rPr>
            </w:pPr>
          </w:p>
        </w:tc>
      </w:tr>
      <w:tr w:rsidR="003E6011" w:rsidRPr="00A56217" w14:paraId="3DC87D8F" w14:textId="77777777" w:rsidTr="0FCC21A3">
        <w:trPr>
          <w:trHeight w:val="567"/>
        </w:trPr>
        <w:tc>
          <w:tcPr>
            <w:tcW w:w="1838" w:type="dxa"/>
            <w:vAlign w:val="center"/>
          </w:tcPr>
          <w:p w14:paraId="187E160F" w14:textId="77777777" w:rsidR="003E6011" w:rsidRPr="00AD2999" w:rsidRDefault="003E6011" w:rsidP="00A56217">
            <w:pPr>
              <w:rPr>
                <w:sz w:val="24"/>
                <w:szCs w:val="24"/>
              </w:rPr>
            </w:pPr>
            <w:r w:rsidRPr="0D121F6F">
              <w:rPr>
                <w:sz w:val="24"/>
                <w:szCs w:val="24"/>
              </w:rPr>
              <w:t>7</w:t>
            </w:r>
          </w:p>
        </w:tc>
        <w:tc>
          <w:tcPr>
            <w:tcW w:w="2552" w:type="dxa"/>
            <w:vMerge w:val="restart"/>
            <w:vAlign w:val="center"/>
          </w:tcPr>
          <w:p w14:paraId="382104A2" w14:textId="77777777" w:rsidR="003E6011" w:rsidRPr="00AD2999" w:rsidRDefault="003E6011" w:rsidP="0D121F6F">
            <w:pPr>
              <w:rPr>
                <w:sz w:val="24"/>
                <w:szCs w:val="24"/>
              </w:rPr>
            </w:pPr>
            <w:r w:rsidRPr="0D121F6F">
              <w:rPr>
                <w:sz w:val="24"/>
                <w:szCs w:val="24"/>
              </w:rPr>
              <w:t>Arrange 3</w:t>
            </w:r>
            <w:r w:rsidRPr="00A56217">
              <w:rPr>
                <w:sz w:val="24"/>
                <w:szCs w:val="24"/>
              </w:rPr>
              <w:t>rd</w:t>
            </w:r>
            <w:r w:rsidRPr="0D121F6F">
              <w:rPr>
                <w:sz w:val="24"/>
                <w:szCs w:val="24"/>
              </w:rPr>
              <w:t xml:space="preserve"> 1:1 – theme allocation if not already progressed</w:t>
            </w:r>
          </w:p>
        </w:tc>
        <w:tc>
          <w:tcPr>
            <w:tcW w:w="2551" w:type="dxa"/>
            <w:vMerge w:val="restart"/>
            <w:vAlign w:val="center"/>
          </w:tcPr>
          <w:p w14:paraId="65BB83C1" w14:textId="77777777" w:rsidR="003E6011" w:rsidRPr="00AD2999" w:rsidRDefault="003E6011" w:rsidP="0D121F6F">
            <w:pPr>
              <w:rPr>
                <w:sz w:val="24"/>
                <w:szCs w:val="24"/>
              </w:rPr>
            </w:pPr>
            <w:r w:rsidRPr="0D121F6F">
              <w:rPr>
                <w:sz w:val="24"/>
                <w:szCs w:val="24"/>
              </w:rPr>
              <w:t>Follow up action re theme allocation or anything else that comes up.</w:t>
            </w:r>
          </w:p>
        </w:tc>
        <w:tc>
          <w:tcPr>
            <w:tcW w:w="2268" w:type="dxa"/>
            <w:vAlign w:val="center"/>
          </w:tcPr>
          <w:p w14:paraId="65BA7933" w14:textId="77777777" w:rsidR="003E6011" w:rsidRPr="00A56217" w:rsidRDefault="003E6011" w:rsidP="003E6011">
            <w:pPr>
              <w:rPr>
                <w:sz w:val="24"/>
                <w:szCs w:val="24"/>
              </w:rPr>
            </w:pPr>
          </w:p>
        </w:tc>
      </w:tr>
      <w:tr w:rsidR="003E6011" w:rsidRPr="00A56217" w14:paraId="02DF564F" w14:textId="77777777" w:rsidTr="0FCC21A3">
        <w:trPr>
          <w:trHeight w:val="567"/>
        </w:trPr>
        <w:tc>
          <w:tcPr>
            <w:tcW w:w="1838" w:type="dxa"/>
            <w:vAlign w:val="center"/>
          </w:tcPr>
          <w:p w14:paraId="4F859D3B" w14:textId="77777777" w:rsidR="003E6011" w:rsidRPr="00AD2999" w:rsidRDefault="003E6011" w:rsidP="00A56217">
            <w:pPr>
              <w:rPr>
                <w:sz w:val="24"/>
                <w:szCs w:val="24"/>
              </w:rPr>
            </w:pPr>
            <w:r w:rsidRPr="0D121F6F">
              <w:rPr>
                <w:sz w:val="24"/>
                <w:szCs w:val="24"/>
              </w:rPr>
              <w:t>8</w:t>
            </w:r>
          </w:p>
        </w:tc>
        <w:tc>
          <w:tcPr>
            <w:tcW w:w="2552" w:type="dxa"/>
            <w:vMerge/>
            <w:vAlign w:val="center"/>
          </w:tcPr>
          <w:p w14:paraId="53EDC8CF" w14:textId="77777777" w:rsidR="003E6011" w:rsidRPr="00A56217" w:rsidRDefault="003E6011" w:rsidP="003E6011">
            <w:pPr>
              <w:rPr>
                <w:sz w:val="24"/>
                <w:szCs w:val="24"/>
              </w:rPr>
            </w:pPr>
          </w:p>
        </w:tc>
        <w:tc>
          <w:tcPr>
            <w:tcW w:w="2551" w:type="dxa"/>
            <w:vMerge/>
            <w:vAlign w:val="center"/>
          </w:tcPr>
          <w:p w14:paraId="643D8803" w14:textId="77777777" w:rsidR="003E6011" w:rsidRPr="00A56217" w:rsidRDefault="003E6011" w:rsidP="003E6011">
            <w:pPr>
              <w:rPr>
                <w:sz w:val="24"/>
                <w:szCs w:val="24"/>
              </w:rPr>
            </w:pPr>
          </w:p>
        </w:tc>
        <w:tc>
          <w:tcPr>
            <w:tcW w:w="2268" w:type="dxa"/>
            <w:vAlign w:val="center"/>
          </w:tcPr>
          <w:p w14:paraId="2797BAA0" w14:textId="77777777" w:rsidR="003E6011" w:rsidRPr="00A56217" w:rsidRDefault="003E6011" w:rsidP="003E6011">
            <w:pPr>
              <w:rPr>
                <w:sz w:val="24"/>
                <w:szCs w:val="24"/>
              </w:rPr>
            </w:pPr>
          </w:p>
        </w:tc>
      </w:tr>
      <w:tr w:rsidR="003E6011" w:rsidRPr="00A56217" w14:paraId="3CE51BA9" w14:textId="77777777" w:rsidTr="0FCC21A3">
        <w:trPr>
          <w:trHeight w:val="567"/>
        </w:trPr>
        <w:tc>
          <w:tcPr>
            <w:tcW w:w="1838" w:type="dxa"/>
            <w:vAlign w:val="center"/>
          </w:tcPr>
          <w:p w14:paraId="4CFEC16E" w14:textId="77777777" w:rsidR="003E6011" w:rsidRPr="00AD2999" w:rsidRDefault="003E6011" w:rsidP="00A56217">
            <w:pPr>
              <w:rPr>
                <w:sz w:val="24"/>
                <w:szCs w:val="24"/>
              </w:rPr>
            </w:pPr>
            <w:r w:rsidRPr="0D121F6F">
              <w:rPr>
                <w:sz w:val="24"/>
                <w:szCs w:val="24"/>
              </w:rPr>
              <w:t>9</w:t>
            </w:r>
          </w:p>
        </w:tc>
        <w:tc>
          <w:tcPr>
            <w:tcW w:w="2552" w:type="dxa"/>
            <w:vAlign w:val="center"/>
          </w:tcPr>
          <w:p w14:paraId="644F83A9" w14:textId="77777777" w:rsidR="003E6011" w:rsidRPr="00AD2999" w:rsidRDefault="003E6011" w:rsidP="0D121F6F">
            <w:pPr>
              <w:rPr>
                <w:sz w:val="24"/>
                <w:szCs w:val="24"/>
              </w:rPr>
            </w:pPr>
          </w:p>
        </w:tc>
        <w:tc>
          <w:tcPr>
            <w:tcW w:w="2551" w:type="dxa"/>
            <w:vMerge/>
            <w:vAlign w:val="center"/>
          </w:tcPr>
          <w:p w14:paraId="597ACE0C" w14:textId="77777777" w:rsidR="003E6011" w:rsidRPr="00A56217" w:rsidRDefault="003E6011" w:rsidP="003E6011">
            <w:pPr>
              <w:rPr>
                <w:sz w:val="24"/>
                <w:szCs w:val="24"/>
              </w:rPr>
            </w:pPr>
          </w:p>
        </w:tc>
        <w:tc>
          <w:tcPr>
            <w:tcW w:w="2268" w:type="dxa"/>
            <w:vAlign w:val="center"/>
          </w:tcPr>
          <w:p w14:paraId="573F9287" w14:textId="77777777" w:rsidR="003E6011" w:rsidRPr="00A56217" w:rsidRDefault="003E6011" w:rsidP="003E6011">
            <w:pPr>
              <w:rPr>
                <w:sz w:val="24"/>
                <w:szCs w:val="24"/>
              </w:rPr>
            </w:pPr>
          </w:p>
        </w:tc>
      </w:tr>
      <w:tr w:rsidR="003E6011" w:rsidRPr="00A56217" w14:paraId="053BED4D" w14:textId="77777777" w:rsidTr="0FCC21A3">
        <w:trPr>
          <w:trHeight w:val="567"/>
        </w:trPr>
        <w:tc>
          <w:tcPr>
            <w:tcW w:w="1838" w:type="dxa"/>
            <w:vAlign w:val="center"/>
          </w:tcPr>
          <w:p w14:paraId="3C62FB56" w14:textId="77777777" w:rsidR="003E6011" w:rsidRPr="00A56217" w:rsidRDefault="003E6011" w:rsidP="00A56217">
            <w:pPr>
              <w:rPr>
                <w:sz w:val="24"/>
                <w:szCs w:val="24"/>
              </w:rPr>
            </w:pPr>
            <w:r w:rsidRPr="00A56217">
              <w:rPr>
                <w:sz w:val="24"/>
                <w:szCs w:val="24"/>
              </w:rPr>
              <w:t>10</w:t>
            </w:r>
          </w:p>
        </w:tc>
        <w:tc>
          <w:tcPr>
            <w:tcW w:w="7371" w:type="dxa"/>
            <w:gridSpan w:val="3"/>
            <w:vMerge w:val="restart"/>
            <w:vAlign w:val="center"/>
          </w:tcPr>
          <w:p w14:paraId="3C50DD05" w14:textId="77777777" w:rsidR="003E6011" w:rsidRPr="00A56217" w:rsidRDefault="003E6011" w:rsidP="003E6011">
            <w:pPr>
              <w:rPr>
                <w:sz w:val="24"/>
                <w:szCs w:val="24"/>
              </w:rPr>
            </w:pPr>
            <w:r w:rsidRPr="00A56217">
              <w:rPr>
                <w:sz w:val="24"/>
                <w:szCs w:val="24"/>
              </w:rPr>
              <w:t>Usually not needed but may continue induction if any issues arise, there are delays in the process etc.</w:t>
            </w:r>
          </w:p>
        </w:tc>
      </w:tr>
      <w:tr w:rsidR="003E6011" w:rsidRPr="00A56217" w14:paraId="3E3865AD" w14:textId="77777777" w:rsidTr="0FCC21A3">
        <w:trPr>
          <w:trHeight w:val="567"/>
        </w:trPr>
        <w:tc>
          <w:tcPr>
            <w:tcW w:w="1838" w:type="dxa"/>
            <w:vAlign w:val="center"/>
          </w:tcPr>
          <w:p w14:paraId="670B4656" w14:textId="77777777" w:rsidR="003E6011" w:rsidRPr="00A56217" w:rsidRDefault="003E6011" w:rsidP="00A56217">
            <w:pPr>
              <w:rPr>
                <w:sz w:val="24"/>
                <w:szCs w:val="24"/>
              </w:rPr>
            </w:pPr>
            <w:r w:rsidRPr="00A56217">
              <w:rPr>
                <w:sz w:val="24"/>
                <w:szCs w:val="24"/>
              </w:rPr>
              <w:t>11</w:t>
            </w:r>
          </w:p>
        </w:tc>
        <w:tc>
          <w:tcPr>
            <w:tcW w:w="7371" w:type="dxa"/>
            <w:gridSpan w:val="3"/>
            <w:vMerge/>
            <w:vAlign w:val="center"/>
          </w:tcPr>
          <w:p w14:paraId="36964741" w14:textId="77777777" w:rsidR="003E6011" w:rsidRPr="00A56217" w:rsidRDefault="003E6011" w:rsidP="003E6011">
            <w:pPr>
              <w:rPr>
                <w:sz w:val="24"/>
                <w:szCs w:val="24"/>
              </w:rPr>
            </w:pPr>
          </w:p>
        </w:tc>
      </w:tr>
      <w:tr w:rsidR="003E6011" w:rsidRPr="00A56217" w14:paraId="3D9F4096" w14:textId="77777777" w:rsidTr="0FCC21A3">
        <w:trPr>
          <w:trHeight w:val="567"/>
        </w:trPr>
        <w:tc>
          <w:tcPr>
            <w:tcW w:w="1838" w:type="dxa"/>
            <w:vAlign w:val="center"/>
          </w:tcPr>
          <w:p w14:paraId="14A16841" w14:textId="77777777" w:rsidR="003E6011" w:rsidRPr="00A56217" w:rsidRDefault="003E6011" w:rsidP="00A56217">
            <w:pPr>
              <w:rPr>
                <w:sz w:val="24"/>
                <w:szCs w:val="24"/>
              </w:rPr>
            </w:pPr>
            <w:r w:rsidRPr="00A56217">
              <w:rPr>
                <w:sz w:val="24"/>
                <w:szCs w:val="24"/>
              </w:rPr>
              <w:t>12</w:t>
            </w:r>
          </w:p>
        </w:tc>
        <w:tc>
          <w:tcPr>
            <w:tcW w:w="7371" w:type="dxa"/>
            <w:gridSpan w:val="3"/>
            <w:vMerge/>
            <w:vAlign w:val="center"/>
          </w:tcPr>
          <w:p w14:paraId="0F294741" w14:textId="77777777" w:rsidR="003E6011" w:rsidRPr="00A56217" w:rsidRDefault="003E6011" w:rsidP="003E6011">
            <w:pPr>
              <w:rPr>
                <w:sz w:val="24"/>
                <w:szCs w:val="24"/>
              </w:rPr>
            </w:pPr>
          </w:p>
        </w:tc>
      </w:tr>
    </w:tbl>
    <w:p w14:paraId="217D8845" w14:textId="77777777" w:rsidR="003E6011" w:rsidRPr="00A56217" w:rsidRDefault="003E6011" w:rsidP="00A56217">
      <w:pPr>
        <w:spacing w:after="0" w:line="240" w:lineRule="auto"/>
        <w:rPr>
          <w:sz w:val="24"/>
          <w:szCs w:val="24"/>
        </w:rPr>
      </w:pPr>
    </w:p>
    <w:p w14:paraId="6BDD2CA4" w14:textId="3B898735" w:rsidR="003E6011" w:rsidRPr="00196CAA" w:rsidRDefault="003E6011" w:rsidP="003B4AAD">
      <w:pPr>
        <w:rPr>
          <w:sz w:val="24"/>
          <w:szCs w:val="24"/>
        </w:rPr>
      </w:pPr>
      <w:r w:rsidRPr="00B06C09">
        <w:rPr>
          <w:rFonts w:cstheme="minorHAnsi"/>
          <w:b/>
          <w:i/>
          <w:sz w:val="24"/>
          <w:szCs w:val="24"/>
        </w:rPr>
        <w:t>Please note there may be additional activities for some roles (e.g. Strategy Board Public Partners)</w:t>
      </w:r>
    </w:p>
    <w:sectPr w:rsidR="003E6011" w:rsidRPr="00196CAA" w:rsidSect="003B4AAD">
      <w:headerReference w:type="default" r:id="rId22"/>
      <w:footerReference w:type="default" r:id="rId23"/>
      <w:pgSz w:w="11906" w:h="16838"/>
      <w:pgMar w:top="907" w:right="1021" w:bottom="907" w:left="102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a Rennard" w:date="2025-04-22T15:38:00Z" w:initials="UR">
    <w:p w14:paraId="63773423" w14:textId="77777777" w:rsidR="00A56217" w:rsidRDefault="00A56217" w:rsidP="003E6011">
      <w:pPr>
        <w:pStyle w:val="CommentText"/>
      </w:pPr>
      <w:r>
        <w:rPr>
          <w:rStyle w:val="CommentReference"/>
        </w:rPr>
        <w:annotationRef/>
      </w:r>
      <w:r>
        <w:t>For each induction check all links are still working and add any new resources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77342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2453D" w14:textId="77777777" w:rsidR="00A56217" w:rsidRDefault="00A56217" w:rsidP="0012763D">
      <w:pPr>
        <w:spacing w:after="0" w:line="240" w:lineRule="auto"/>
      </w:pPr>
      <w:r>
        <w:separator/>
      </w:r>
    </w:p>
  </w:endnote>
  <w:endnote w:type="continuationSeparator" w:id="0">
    <w:p w14:paraId="6ABC9393" w14:textId="77777777" w:rsidR="00A56217" w:rsidRDefault="00A56217" w:rsidP="0012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F6BB" w14:textId="2882DB04" w:rsidR="00A56217" w:rsidRDefault="00A56217">
    <w:pPr>
      <w:pStyle w:val="Footer"/>
      <w:jc w:val="center"/>
    </w:pPr>
  </w:p>
  <w:p w14:paraId="098A5022" w14:textId="77777777" w:rsidR="00A56217" w:rsidRDefault="00A5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039C" w14:textId="77777777" w:rsidR="00A56217" w:rsidRDefault="00A56217" w:rsidP="0012763D">
      <w:pPr>
        <w:spacing w:after="0" w:line="240" w:lineRule="auto"/>
      </w:pPr>
      <w:r>
        <w:separator/>
      </w:r>
    </w:p>
  </w:footnote>
  <w:footnote w:type="continuationSeparator" w:id="0">
    <w:p w14:paraId="37E9F766" w14:textId="77777777" w:rsidR="00A56217" w:rsidRDefault="00A56217" w:rsidP="0012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8FFD0" w14:textId="77777777" w:rsidR="003B4AAD" w:rsidRDefault="003B4AAD" w:rsidP="003B4AAD">
    <w:pPr>
      <w:spacing w:after="0"/>
      <w:jc w:val="right"/>
      <w:rPr>
        <w:sz w:val="28"/>
      </w:rPr>
    </w:pPr>
    <w:r>
      <w:rPr>
        <w:sz w:val="28"/>
      </w:rPr>
      <w:t>NIHR ARC OxTV Governance Public Contributors Induction</w:t>
    </w:r>
    <w:r w:rsidRPr="00291D03">
      <w:rPr>
        <w:sz w:val="28"/>
      </w:rPr>
      <w:t xml:space="preserve"> </w:t>
    </w:r>
    <w:r>
      <w:rPr>
        <w:sz w:val="28"/>
      </w:rPr>
      <w:t>Process 2025</w:t>
    </w:r>
  </w:p>
  <w:p w14:paraId="497C14EE" w14:textId="6D4463F0" w:rsidR="00A56217" w:rsidRPr="003B4AAD" w:rsidRDefault="00A56217" w:rsidP="003B4AAD">
    <w:pPr>
      <w:pStyle w:val="Header"/>
    </w:pPr>
  </w:p>
</w:hdr>
</file>

<file path=word/intelligence2.xml><?xml version="1.0" encoding="utf-8"?>
<int2:intelligence xmlns:int2="http://schemas.microsoft.com/office/intelligence/2020/intelligence">
  <int2:observations>
    <int2:textHash int2:hashCode="7n9ZM8U3ThO8MS" int2:id="vGrZlzpp">
      <int2:state int2:type="spell" int2:value="Rejected"/>
    </int2:textHash>
    <int2:bookmark int2:bookmarkName="_Int_RpZstUbI" int2:invalidationBookmarkName="" int2:hashCode="ivVt5oJ5y29e0C" int2:id="iQjw57kN">
      <int2:state int2:type="gram" int2:value="Rejected"/>
    </int2:bookmark>
    <int2:bookmark int2:bookmarkName="_Int_olr9dVA3" int2:invalidationBookmarkName="" int2:hashCode="ivVt5oJ5y29e0C" int2:id="hep5DRek">
      <int2:state int2:type="gram" int2:value="Rejected"/>
    </int2:bookmark>
    <int2:bookmark int2:bookmarkName="_Int_LsBkkFIS" int2:invalidationBookmarkName="" int2:hashCode="KhuHW4T6ckXC1N" int2:id="LhuKQbK0">
      <int2:state int2:type="gram" int2:value="Rejected"/>
    </int2:bookmark>
    <int2:bookmark int2:bookmarkName="_Int_RQq5ySOA" int2:invalidationBookmarkName="" int2:hashCode="bFP54sMJvAa1k2" int2:id="GgKUjajz">
      <int2:state int2:type="gram" int2:value="Rejected"/>
    </int2:bookmark>
    <int2:bookmark int2:bookmarkName="_Int_TLgRjks0" int2:invalidationBookmarkName="" int2:hashCode="bFP54sMJvAa1k2" int2:id="QCrVnNdu">
      <int2:state int2:type="gram" int2:value="Rejected"/>
    </int2:bookmark>
    <int2:bookmark int2:bookmarkName="_Int_vCx2RvV9" int2:invalidationBookmarkName="" int2:hashCode="ColNt8eS4Qp544" int2:id="QzdcQhkP">
      <int2:state int2:type="gram" int2:value="Rejected"/>
    </int2:bookmark>
    <int2:bookmark int2:bookmarkName="_Int_0vos1RVe" int2:invalidationBookmarkName="" int2:hashCode="Az43Ox9Yc1Z549" int2:id="J4U31Xrr">
      <int2:state int2:type="gram" int2:value="Rejected"/>
    </int2:bookmark>
    <int2:bookmark int2:bookmarkName="_Int_6J1sZQjk" int2:invalidationBookmarkName="" int2:hashCode="7bBImyNfXzlwbP" int2:id="WgMY4Bg5">
      <int2:state int2:type="gram" int2:value="Rejected"/>
    </int2:bookmark>
    <int2:bookmark int2:bookmarkName="_Int_5wUzGrcW" int2:invalidationBookmarkName="" int2:hashCode="oZwfIpKVY3B6nW" int2:id="pFD1i7T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18"/>
    <w:multiLevelType w:val="hybridMultilevel"/>
    <w:tmpl w:val="2508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22810"/>
    <w:multiLevelType w:val="hybridMultilevel"/>
    <w:tmpl w:val="6F0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D0E25"/>
    <w:multiLevelType w:val="hybridMultilevel"/>
    <w:tmpl w:val="86FE6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777FB"/>
    <w:multiLevelType w:val="hybridMultilevel"/>
    <w:tmpl w:val="4236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19C"/>
    <w:multiLevelType w:val="multilevel"/>
    <w:tmpl w:val="CA54A21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1C4D54"/>
    <w:multiLevelType w:val="hybridMultilevel"/>
    <w:tmpl w:val="AAECC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66ED3"/>
    <w:multiLevelType w:val="hybridMultilevel"/>
    <w:tmpl w:val="C2F6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D4827"/>
    <w:multiLevelType w:val="hybridMultilevel"/>
    <w:tmpl w:val="AA3A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633DF"/>
    <w:multiLevelType w:val="hybridMultilevel"/>
    <w:tmpl w:val="3746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D5094"/>
    <w:multiLevelType w:val="hybridMultilevel"/>
    <w:tmpl w:val="FA6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83A57"/>
    <w:multiLevelType w:val="hybridMultilevel"/>
    <w:tmpl w:val="B0D6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86C1B"/>
    <w:multiLevelType w:val="hybridMultilevel"/>
    <w:tmpl w:val="32F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41699"/>
    <w:multiLevelType w:val="hybridMultilevel"/>
    <w:tmpl w:val="3BF0E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3F52DD"/>
    <w:multiLevelType w:val="hybridMultilevel"/>
    <w:tmpl w:val="618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857D0"/>
    <w:multiLevelType w:val="hybridMultilevel"/>
    <w:tmpl w:val="04406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83A62"/>
    <w:multiLevelType w:val="hybridMultilevel"/>
    <w:tmpl w:val="055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C7ECE"/>
    <w:multiLevelType w:val="hybridMultilevel"/>
    <w:tmpl w:val="D47E67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241573"/>
    <w:multiLevelType w:val="hybridMultilevel"/>
    <w:tmpl w:val="01266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F786902"/>
    <w:multiLevelType w:val="hybridMultilevel"/>
    <w:tmpl w:val="73EEE9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C33DBB"/>
    <w:multiLevelType w:val="hybridMultilevel"/>
    <w:tmpl w:val="F860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605B2"/>
    <w:multiLevelType w:val="multilevel"/>
    <w:tmpl w:val="50F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B91416"/>
    <w:multiLevelType w:val="hybridMultilevel"/>
    <w:tmpl w:val="A9E8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513B4C"/>
    <w:multiLevelType w:val="multilevel"/>
    <w:tmpl w:val="247AE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854EA3"/>
    <w:multiLevelType w:val="hybridMultilevel"/>
    <w:tmpl w:val="086A4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B0215D6"/>
    <w:multiLevelType w:val="hybridMultilevel"/>
    <w:tmpl w:val="EDA44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D25042"/>
    <w:multiLevelType w:val="hybridMultilevel"/>
    <w:tmpl w:val="983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C356B5"/>
    <w:multiLevelType w:val="multilevel"/>
    <w:tmpl w:val="6EAEA3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DE5C39"/>
    <w:multiLevelType w:val="multilevel"/>
    <w:tmpl w:val="6D4688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C35C60"/>
    <w:multiLevelType w:val="hybridMultilevel"/>
    <w:tmpl w:val="4B648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EBC7C73"/>
    <w:multiLevelType w:val="hybridMultilevel"/>
    <w:tmpl w:val="2378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EE91F82"/>
    <w:multiLevelType w:val="hybridMultilevel"/>
    <w:tmpl w:val="D54C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F64E3C"/>
    <w:multiLevelType w:val="hybridMultilevel"/>
    <w:tmpl w:val="5606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AC7130"/>
    <w:multiLevelType w:val="hybridMultilevel"/>
    <w:tmpl w:val="091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837C4"/>
    <w:multiLevelType w:val="hybridMultilevel"/>
    <w:tmpl w:val="4A40E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93536"/>
    <w:multiLevelType w:val="hybridMultilevel"/>
    <w:tmpl w:val="3D4E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A0947"/>
    <w:multiLevelType w:val="hybridMultilevel"/>
    <w:tmpl w:val="26B2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43262"/>
    <w:multiLevelType w:val="hybridMultilevel"/>
    <w:tmpl w:val="3F42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7569F"/>
    <w:multiLevelType w:val="hybridMultilevel"/>
    <w:tmpl w:val="995A9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51255F"/>
    <w:multiLevelType w:val="hybridMultilevel"/>
    <w:tmpl w:val="CB225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470332"/>
    <w:multiLevelType w:val="hybridMultilevel"/>
    <w:tmpl w:val="7F8EC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CF1A3E"/>
    <w:multiLevelType w:val="hybridMultilevel"/>
    <w:tmpl w:val="C080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6F3475"/>
    <w:multiLevelType w:val="hybridMultilevel"/>
    <w:tmpl w:val="5B6A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3327BF"/>
    <w:multiLevelType w:val="hybridMultilevel"/>
    <w:tmpl w:val="00B0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308CD"/>
    <w:multiLevelType w:val="hybridMultilevel"/>
    <w:tmpl w:val="81B2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45B5F"/>
    <w:multiLevelType w:val="hybridMultilevel"/>
    <w:tmpl w:val="3F8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551EA"/>
    <w:multiLevelType w:val="hybridMultilevel"/>
    <w:tmpl w:val="67B4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8"/>
  </w:num>
  <w:num w:numId="4">
    <w:abstractNumId w:val="13"/>
  </w:num>
  <w:num w:numId="5">
    <w:abstractNumId w:val="5"/>
  </w:num>
  <w:num w:numId="6">
    <w:abstractNumId w:val="10"/>
  </w:num>
  <w:num w:numId="7">
    <w:abstractNumId w:val="1"/>
  </w:num>
  <w:num w:numId="8">
    <w:abstractNumId w:val="35"/>
  </w:num>
  <w:num w:numId="9">
    <w:abstractNumId w:val="45"/>
  </w:num>
  <w:num w:numId="10">
    <w:abstractNumId w:val="7"/>
  </w:num>
  <w:num w:numId="11">
    <w:abstractNumId w:val="25"/>
  </w:num>
  <w:num w:numId="12">
    <w:abstractNumId w:val="41"/>
  </w:num>
  <w:num w:numId="13">
    <w:abstractNumId w:val="42"/>
  </w:num>
  <w:num w:numId="14">
    <w:abstractNumId w:val="43"/>
  </w:num>
  <w:num w:numId="15">
    <w:abstractNumId w:val="44"/>
  </w:num>
  <w:num w:numId="16">
    <w:abstractNumId w:val="34"/>
  </w:num>
  <w:num w:numId="17">
    <w:abstractNumId w:val="14"/>
  </w:num>
  <w:num w:numId="18">
    <w:abstractNumId w:val="21"/>
  </w:num>
  <w:num w:numId="19">
    <w:abstractNumId w:val="30"/>
  </w:num>
  <w:num w:numId="20">
    <w:abstractNumId w:val="33"/>
  </w:num>
  <w:num w:numId="21">
    <w:abstractNumId w:val="40"/>
  </w:num>
  <w:num w:numId="22">
    <w:abstractNumId w:val="15"/>
  </w:num>
  <w:num w:numId="23">
    <w:abstractNumId w:val="6"/>
  </w:num>
  <w:num w:numId="24">
    <w:abstractNumId w:val="11"/>
  </w:num>
  <w:num w:numId="25">
    <w:abstractNumId w:val="3"/>
  </w:num>
  <w:num w:numId="26">
    <w:abstractNumId w:val="20"/>
  </w:num>
  <w:num w:numId="27">
    <w:abstractNumId w:val="22"/>
  </w:num>
  <w:num w:numId="28">
    <w:abstractNumId w:val="27"/>
  </w:num>
  <w:num w:numId="29">
    <w:abstractNumId w:val="26"/>
  </w:num>
  <w:num w:numId="30">
    <w:abstractNumId w:val="4"/>
  </w:num>
  <w:num w:numId="31">
    <w:abstractNumId w:val="37"/>
  </w:num>
  <w:num w:numId="32">
    <w:abstractNumId w:val="2"/>
  </w:num>
  <w:num w:numId="33">
    <w:abstractNumId w:val="29"/>
  </w:num>
  <w:num w:numId="34">
    <w:abstractNumId w:val="23"/>
  </w:num>
  <w:num w:numId="35">
    <w:abstractNumId w:val="12"/>
  </w:num>
  <w:num w:numId="36">
    <w:abstractNumId w:val="32"/>
  </w:num>
  <w:num w:numId="37">
    <w:abstractNumId w:val="19"/>
  </w:num>
  <w:num w:numId="38">
    <w:abstractNumId w:val="36"/>
  </w:num>
  <w:num w:numId="39">
    <w:abstractNumId w:val="38"/>
  </w:num>
  <w:num w:numId="40">
    <w:abstractNumId w:val="39"/>
  </w:num>
  <w:num w:numId="41">
    <w:abstractNumId w:val="16"/>
  </w:num>
  <w:num w:numId="42">
    <w:abstractNumId w:val="0"/>
  </w:num>
  <w:num w:numId="43">
    <w:abstractNumId w:val="28"/>
  </w:num>
  <w:num w:numId="44">
    <w:abstractNumId w:val="17"/>
  </w:num>
  <w:num w:numId="45">
    <w:abstractNumId w:val="9"/>
  </w:num>
  <w:num w:numId="46">
    <w:abstractNumId w:val="2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a Rennard">
    <w15:presenceInfo w15:providerId="None" w15:userId="Una Renn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E"/>
    <w:rsid w:val="000536E7"/>
    <w:rsid w:val="000551A6"/>
    <w:rsid w:val="000A6D07"/>
    <w:rsid w:val="000E401B"/>
    <w:rsid w:val="0012763D"/>
    <w:rsid w:val="00170F96"/>
    <w:rsid w:val="00196CAA"/>
    <w:rsid w:val="002116A9"/>
    <w:rsid w:val="00251AF5"/>
    <w:rsid w:val="00252EF8"/>
    <w:rsid w:val="002672A9"/>
    <w:rsid w:val="00350857"/>
    <w:rsid w:val="003758F0"/>
    <w:rsid w:val="00387A3E"/>
    <w:rsid w:val="003A16ED"/>
    <w:rsid w:val="003B1686"/>
    <w:rsid w:val="003B4AAD"/>
    <w:rsid w:val="003E47B2"/>
    <w:rsid w:val="003E6011"/>
    <w:rsid w:val="004213A2"/>
    <w:rsid w:val="00471A32"/>
    <w:rsid w:val="005A76E7"/>
    <w:rsid w:val="005C0A34"/>
    <w:rsid w:val="0065756C"/>
    <w:rsid w:val="0069667D"/>
    <w:rsid w:val="006BE63B"/>
    <w:rsid w:val="00786275"/>
    <w:rsid w:val="0082678D"/>
    <w:rsid w:val="008372E2"/>
    <w:rsid w:val="00843097"/>
    <w:rsid w:val="0086553B"/>
    <w:rsid w:val="008826A9"/>
    <w:rsid w:val="008E6877"/>
    <w:rsid w:val="008F75F7"/>
    <w:rsid w:val="00940B1A"/>
    <w:rsid w:val="009C6BE6"/>
    <w:rsid w:val="009F5571"/>
    <w:rsid w:val="00A56217"/>
    <w:rsid w:val="00B453F3"/>
    <w:rsid w:val="00B77A89"/>
    <w:rsid w:val="00B77D50"/>
    <w:rsid w:val="00BC380E"/>
    <w:rsid w:val="00C55842"/>
    <w:rsid w:val="00CA2228"/>
    <w:rsid w:val="00D31D60"/>
    <w:rsid w:val="00D51910"/>
    <w:rsid w:val="00DE0A2A"/>
    <w:rsid w:val="00EE2BC9"/>
    <w:rsid w:val="00FB6726"/>
    <w:rsid w:val="024AC87F"/>
    <w:rsid w:val="02A77991"/>
    <w:rsid w:val="03F8D43A"/>
    <w:rsid w:val="0616C70E"/>
    <w:rsid w:val="07210253"/>
    <w:rsid w:val="081B470D"/>
    <w:rsid w:val="095304B3"/>
    <w:rsid w:val="0B9FE512"/>
    <w:rsid w:val="0C853411"/>
    <w:rsid w:val="0D121F6F"/>
    <w:rsid w:val="0D2CBF98"/>
    <w:rsid w:val="0D6BB773"/>
    <w:rsid w:val="0FCC21A3"/>
    <w:rsid w:val="14B0F605"/>
    <w:rsid w:val="15A01245"/>
    <w:rsid w:val="19DD1580"/>
    <w:rsid w:val="223E704D"/>
    <w:rsid w:val="2354089E"/>
    <w:rsid w:val="2384345F"/>
    <w:rsid w:val="25A2936D"/>
    <w:rsid w:val="26FCF0C4"/>
    <w:rsid w:val="278549ED"/>
    <w:rsid w:val="27A56505"/>
    <w:rsid w:val="27DBED6F"/>
    <w:rsid w:val="28BFC810"/>
    <w:rsid w:val="292C5840"/>
    <w:rsid w:val="294D0B55"/>
    <w:rsid w:val="2DB89A5A"/>
    <w:rsid w:val="2FD1E017"/>
    <w:rsid w:val="300F2EB2"/>
    <w:rsid w:val="30CDC968"/>
    <w:rsid w:val="321EB1ED"/>
    <w:rsid w:val="3839CD9A"/>
    <w:rsid w:val="3B2E447F"/>
    <w:rsid w:val="3B96C816"/>
    <w:rsid w:val="3C83B9A2"/>
    <w:rsid w:val="4016AEF9"/>
    <w:rsid w:val="40E4DB4F"/>
    <w:rsid w:val="42BC6AE0"/>
    <w:rsid w:val="45929385"/>
    <w:rsid w:val="45ABCCC6"/>
    <w:rsid w:val="4DF3B510"/>
    <w:rsid w:val="4FD2C100"/>
    <w:rsid w:val="56ECA28F"/>
    <w:rsid w:val="573644ED"/>
    <w:rsid w:val="587BC089"/>
    <w:rsid w:val="59B8D0BB"/>
    <w:rsid w:val="5ADA7E3E"/>
    <w:rsid w:val="5DFB97A2"/>
    <w:rsid w:val="5ED3B908"/>
    <w:rsid w:val="5FAA023C"/>
    <w:rsid w:val="5FDACD85"/>
    <w:rsid w:val="61691602"/>
    <w:rsid w:val="61B8A3FC"/>
    <w:rsid w:val="6D1516EB"/>
    <w:rsid w:val="6D31B33F"/>
    <w:rsid w:val="6E333B47"/>
    <w:rsid w:val="6E8F0697"/>
    <w:rsid w:val="72FF303B"/>
    <w:rsid w:val="734CEA28"/>
    <w:rsid w:val="74584067"/>
    <w:rsid w:val="759908A7"/>
    <w:rsid w:val="75E790FD"/>
    <w:rsid w:val="7A3C83A0"/>
    <w:rsid w:val="7A7450D5"/>
    <w:rsid w:val="7AE12AFB"/>
    <w:rsid w:val="7B0C8B78"/>
    <w:rsid w:val="7E90D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BF438D"/>
  <w15:chartTrackingRefBased/>
  <w15:docId w15:val="{46BD189C-6D1A-44C5-A7AC-F7DD7002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A3E"/>
    <w:pPr>
      <w:spacing w:line="256" w:lineRule="auto"/>
      <w:ind w:left="720"/>
      <w:contextualSpacing/>
    </w:pPr>
  </w:style>
  <w:style w:type="paragraph" w:styleId="Header">
    <w:name w:val="header"/>
    <w:basedOn w:val="Normal"/>
    <w:link w:val="HeaderChar"/>
    <w:uiPriority w:val="99"/>
    <w:unhideWhenUsed/>
    <w:rsid w:val="00127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63D"/>
  </w:style>
  <w:style w:type="paragraph" w:styleId="Footer">
    <w:name w:val="footer"/>
    <w:basedOn w:val="Normal"/>
    <w:link w:val="FooterChar"/>
    <w:uiPriority w:val="99"/>
    <w:unhideWhenUsed/>
    <w:rsid w:val="00127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63D"/>
  </w:style>
  <w:style w:type="table" w:styleId="TableGrid">
    <w:name w:val="Table Grid"/>
    <w:basedOn w:val="TableNormal"/>
    <w:uiPriority w:val="39"/>
    <w:rsid w:val="003E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E6011"/>
    <w:rPr>
      <w:color w:val="0000FF"/>
      <w:u w:val="single"/>
    </w:rPr>
  </w:style>
  <w:style w:type="character" w:styleId="CommentReference">
    <w:name w:val="annotation reference"/>
    <w:basedOn w:val="DefaultParagraphFont"/>
    <w:uiPriority w:val="99"/>
    <w:semiHidden/>
    <w:unhideWhenUsed/>
    <w:rsid w:val="003E6011"/>
    <w:rPr>
      <w:sz w:val="16"/>
      <w:szCs w:val="16"/>
    </w:rPr>
  </w:style>
  <w:style w:type="paragraph" w:styleId="CommentText">
    <w:name w:val="annotation text"/>
    <w:basedOn w:val="Normal"/>
    <w:link w:val="CommentTextChar"/>
    <w:uiPriority w:val="99"/>
    <w:unhideWhenUsed/>
    <w:rsid w:val="003E6011"/>
    <w:pPr>
      <w:spacing w:line="240" w:lineRule="auto"/>
    </w:pPr>
    <w:rPr>
      <w:sz w:val="20"/>
      <w:szCs w:val="20"/>
    </w:rPr>
  </w:style>
  <w:style w:type="character" w:customStyle="1" w:styleId="CommentTextChar">
    <w:name w:val="Comment Text Char"/>
    <w:basedOn w:val="DefaultParagraphFont"/>
    <w:link w:val="CommentText"/>
    <w:uiPriority w:val="99"/>
    <w:rsid w:val="003E6011"/>
    <w:rPr>
      <w:sz w:val="20"/>
      <w:szCs w:val="20"/>
    </w:rPr>
  </w:style>
  <w:style w:type="paragraph" w:styleId="BalloonText">
    <w:name w:val="Balloon Text"/>
    <w:basedOn w:val="Normal"/>
    <w:link w:val="BalloonTextChar"/>
    <w:uiPriority w:val="99"/>
    <w:semiHidden/>
    <w:unhideWhenUsed/>
    <w:rsid w:val="003E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13A2"/>
    <w:rPr>
      <w:b/>
      <w:bCs/>
    </w:rPr>
  </w:style>
  <w:style w:type="character" w:customStyle="1" w:styleId="CommentSubjectChar">
    <w:name w:val="Comment Subject Char"/>
    <w:basedOn w:val="CommentTextChar"/>
    <w:link w:val="CommentSubject"/>
    <w:uiPriority w:val="99"/>
    <w:semiHidden/>
    <w:rsid w:val="004213A2"/>
    <w:rPr>
      <w:b/>
      <w:bCs/>
      <w:sz w:val="20"/>
      <w:szCs w:val="20"/>
    </w:rPr>
  </w:style>
  <w:style w:type="paragraph" w:customStyle="1" w:styleId="paragraph">
    <w:name w:val="paragraph"/>
    <w:basedOn w:val="Normal"/>
    <w:rsid w:val="003E47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3E47B2"/>
  </w:style>
  <w:style w:type="character" w:customStyle="1" w:styleId="scxw170068150">
    <w:name w:val="scxw170068150"/>
    <w:basedOn w:val="DefaultParagraphFont"/>
    <w:rsid w:val="003E47B2"/>
  </w:style>
  <w:style w:type="character" w:customStyle="1" w:styleId="eop">
    <w:name w:val="eop"/>
    <w:basedOn w:val="DefaultParagraphFont"/>
    <w:rsid w:val="003E47B2"/>
  </w:style>
  <w:style w:type="character" w:customStyle="1" w:styleId="normaltextrun">
    <w:name w:val="normaltextrun"/>
    <w:basedOn w:val="DefaultParagraphFont"/>
    <w:rsid w:val="003E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0611">
      <w:bodyDiv w:val="1"/>
      <w:marLeft w:val="0"/>
      <w:marRight w:val="0"/>
      <w:marTop w:val="0"/>
      <w:marBottom w:val="0"/>
      <w:divBdr>
        <w:top w:val="none" w:sz="0" w:space="0" w:color="auto"/>
        <w:left w:val="none" w:sz="0" w:space="0" w:color="auto"/>
        <w:bottom w:val="none" w:sz="0" w:space="0" w:color="auto"/>
        <w:right w:val="none" w:sz="0" w:space="0" w:color="auto"/>
      </w:divBdr>
      <w:divsChild>
        <w:div w:id="676149833">
          <w:marLeft w:val="0"/>
          <w:marRight w:val="0"/>
          <w:marTop w:val="0"/>
          <w:marBottom w:val="0"/>
          <w:divBdr>
            <w:top w:val="none" w:sz="0" w:space="0" w:color="auto"/>
            <w:left w:val="none" w:sz="0" w:space="0" w:color="auto"/>
            <w:bottom w:val="none" w:sz="0" w:space="0" w:color="auto"/>
            <w:right w:val="none" w:sz="0" w:space="0" w:color="auto"/>
          </w:divBdr>
        </w:div>
        <w:div w:id="580020635">
          <w:marLeft w:val="0"/>
          <w:marRight w:val="0"/>
          <w:marTop w:val="0"/>
          <w:marBottom w:val="0"/>
          <w:divBdr>
            <w:top w:val="none" w:sz="0" w:space="0" w:color="auto"/>
            <w:left w:val="none" w:sz="0" w:space="0" w:color="auto"/>
            <w:bottom w:val="none" w:sz="0" w:space="0" w:color="auto"/>
            <w:right w:val="none" w:sz="0" w:space="0" w:color="auto"/>
          </w:divBdr>
        </w:div>
      </w:divsChild>
    </w:div>
    <w:div w:id="240024840">
      <w:bodyDiv w:val="1"/>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0"/>
          <w:divBdr>
            <w:top w:val="none" w:sz="0" w:space="0" w:color="auto"/>
            <w:left w:val="none" w:sz="0" w:space="0" w:color="auto"/>
            <w:bottom w:val="none" w:sz="0" w:space="0" w:color="auto"/>
            <w:right w:val="none" w:sz="0" w:space="0" w:color="auto"/>
          </w:divBdr>
        </w:div>
        <w:div w:id="2043704182">
          <w:marLeft w:val="0"/>
          <w:marRight w:val="0"/>
          <w:marTop w:val="0"/>
          <w:marBottom w:val="0"/>
          <w:divBdr>
            <w:top w:val="none" w:sz="0" w:space="0" w:color="auto"/>
            <w:left w:val="none" w:sz="0" w:space="0" w:color="auto"/>
            <w:bottom w:val="none" w:sz="0" w:space="0" w:color="auto"/>
            <w:right w:val="none" w:sz="0" w:space="0" w:color="auto"/>
          </w:divBdr>
        </w:div>
      </w:divsChild>
    </w:div>
    <w:div w:id="1212570225">
      <w:bodyDiv w:val="1"/>
      <w:marLeft w:val="0"/>
      <w:marRight w:val="0"/>
      <w:marTop w:val="0"/>
      <w:marBottom w:val="0"/>
      <w:divBdr>
        <w:top w:val="none" w:sz="0" w:space="0" w:color="auto"/>
        <w:left w:val="none" w:sz="0" w:space="0" w:color="auto"/>
        <w:bottom w:val="none" w:sz="0" w:space="0" w:color="auto"/>
        <w:right w:val="none" w:sz="0" w:space="0" w:color="auto"/>
      </w:divBdr>
      <w:divsChild>
        <w:div w:id="534923406">
          <w:marLeft w:val="0"/>
          <w:marRight w:val="0"/>
          <w:marTop w:val="0"/>
          <w:marBottom w:val="0"/>
          <w:divBdr>
            <w:top w:val="none" w:sz="0" w:space="0" w:color="auto"/>
            <w:left w:val="none" w:sz="0" w:space="0" w:color="auto"/>
            <w:bottom w:val="none" w:sz="0" w:space="0" w:color="auto"/>
            <w:right w:val="none" w:sz="0" w:space="0" w:color="auto"/>
          </w:divBdr>
        </w:div>
        <w:div w:id="32219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explore-nihr/support/collaborating-in-applied-health-research.htm" TargetMode="External"/><Relationship Id="rId18" Type="http://schemas.openxmlformats.org/officeDocument/2006/relationships/hyperlink" Target="https://oxfordbrc.nihr.ac.uk/pai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epartofresearch.nihr.ac.u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phc.ox.ac.uk/ppi/getting_involved_as_a_public_contributo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rc-oxtv.nihr.ac.uk/public-involvement" TargetMode="External"/><Relationship Id="rId20" Type="http://schemas.openxmlformats.org/officeDocument/2006/relationships/hyperlink" Target="https://www.peopleinresearc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oxtv.nihr.ac.uk/our_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innovationoxford.org/our-work/our-programmes/community-involvement-and-workforce-innovation/community-involvement/working-together-thames-vall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oxtv.nihr.ac.uk/about" TargetMode="External"/><Relationship Id="rId22" Type="http://schemas.openxmlformats.org/officeDocument/2006/relationships/header" Target="header1.xml"/><Relationship Id="R5cf0ea5e12494ee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D4C2-E9D4-49D3-B3EE-AFADAD34D448}">
  <ds:schemaRefs>
    <ds:schemaRef ds:uri="http://schemas.microsoft.com/sharepoint/v3/contenttype/forms"/>
  </ds:schemaRefs>
</ds:datastoreItem>
</file>

<file path=customXml/itemProps2.xml><?xml version="1.0" encoding="utf-8"?>
<ds:datastoreItem xmlns:ds="http://schemas.openxmlformats.org/officeDocument/2006/customXml" ds:itemID="{C08E6AD7-95CC-4FCA-9D5D-3E8E076A76B9}"/>
</file>

<file path=customXml/itemProps3.xml><?xml version="1.0" encoding="utf-8"?>
<ds:datastoreItem xmlns:ds="http://schemas.openxmlformats.org/officeDocument/2006/customXml" ds:itemID="{F16A9B06-512B-4F03-B4C0-94A8AE59719D}">
  <ds:schemaRefs>
    <ds:schemaRef ds:uri="3c154889-87f7-479b-97fe-73bc5ae448ec"/>
    <ds:schemaRef ds:uri="http://purl.org/dc/elements/1.1/"/>
    <ds:schemaRef ds:uri="http://schemas.microsoft.com/office/2006/metadata/properties"/>
    <ds:schemaRef ds:uri="e94d35e0-714e-49c9-ade3-3e69825f413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148744-1826-40C8-A29D-CBFB0B3B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13</cp:revision>
  <dcterms:created xsi:type="dcterms:W3CDTF">2025-12-03T13:37:00Z</dcterms:created>
  <dcterms:modified xsi:type="dcterms:W3CDTF">2025-12-04T12:13:00Z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87500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